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6C36" w14:textId="77777777" w:rsidR="00132F98" w:rsidRDefault="00132F98">
      <w:pPr>
        <w:spacing w:line="240" w:lineRule="auto"/>
        <w:outlineLvl w:val="0"/>
        <w:rPr>
          <w:b/>
          <w:noProof/>
        </w:rPr>
      </w:pPr>
      <w:bookmarkStart w:id="0" w:name="_Hlk55891485"/>
    </w:p>
    <w:p w14:paraId="68D56C37" w14:textId="77777777" w:rsidR="00132F98" w:rsidRDefault="00132F98">
      <w:pPr>
        <w:spacing w:line="240" w:lineRule="auto"/>
        <w:outlineLvl w:val="0"/>
        <w:rPr>
          <w:b/>
          <w:noProof/>
        </w:rPr>
      </w:pPr>
    </w:p>
    <w:p w14:paraId="68D56C38" w14:textId="77777777" w:rsidR="00132F98" w:rsidRDefault="00132F98">
      <w:pPr>
        <w:spacing w:line="240" w:lineRule="auto"/>
        <w:outlineLvl w:val="0"/>
        <w:rPr>
          <w:b/>
          <w:noProof/>
        </w:rPr>
      </w:pPr>
    </w:p>
    <w:p w14:paraId="68D56C39" w14:textId="77777777" w:rsidR="00132F98" w:rsidRDefault="00132F98">
      <w:pPr>
        <w:spacing w:line="240" w:lineRule="auto"/>
        <w:outlineLvl w:val="0"/>
        <w:rPr>
          <w:b/>
          <w:noProof/>
        </w:rPr>
      </w:pPr>
    </w:p>
    <w:p w14:paraId="68D56C3A" w14:textId="77777777" w:rsidR="00132F98" w:rsidRDefault="00132F98">
      <w:pPr>
        <w:spacing w:line="240" w:lineRule="auto"/>
        <w:outlineLvl w:val="0"/>
        <w:rPr>
          <w:b/>
          <w:noProof/>
          <w:szCs w:val="22"/>
        </w:rPr>
      </w:pPr>
    </w:p>
    <w:p w14:paraId="68D56C3B" w14:textId="77777777" w:rsidR="00132F98" w:rsidRDefault="00132F98">
      <w:pPr>
        <w:spacing w:line="240" w:lineRule="auto"/>
        <w:outlineLvl w:val="0"/>
        <w:rPr>
          <w:b/>
          <w:noProof/>
          <w:szCs w:val="22"/>
        </w:rPr>
      </w:pPr>
    </w:p>
    <w:p w14:paraId="68D56C3C" w14:textId="77777777" w:rsidR="00132F98" w:rsidRDefault="00132F98">
      <w:pPr>
        <w:spacing w:line="240" w:lineRule="auto"/>
        <w:outlineLvl w:val="0"/>
        <w:rPr>
          <w:b/>
          <w:noProof/>
          <w:szCs w:val="22"/>
        </w:rPr>
      </w:pPr>
    </w:p>
    <w:p w14:paraId="68D56C3D" w14:textId="77777777" w:rsidR="00132F98" w:rsidRDefault="00132F98">
      <w:pPr>
        <w:spacing w:line="240" w:lineRule="auto"/>
        <w:outlineLvl w:val="0"/>
        <w:rPr>
          <w:b/>
          <w:noProof/>
          <w:szCs w:val="22"/>
        </w:rPr>
      </w:pPr>
    </w:p>
    <w:p w14:paraId="68D56C3E" w14:textId="77777777" w:rsidR="00132F98" w:rsidRDefault="00132F98">
      <w:pPr>
        <w:spacing w:line="240" w:lineRule="auto"/>
        <w:outlineLvl w:val="0"/>
        <w:rPr>
          <w:b/>
        </w:rPr>
      </w:pPr>
    </w:p>
    <w:p w14:paraId="68D56C3F" w14:textId="77777777" w:rsidR="00132F98" w:rsidRDefault="00132F98">
      <w:pPr>
        <w:spacing w:line="240" w:lineRule="auto"/>
        <w:outlineLvl w:val="0"/>
        <w:rPr>
          <w:b/>
          <w:noProof/>
          <w:szCs w:val="22"/>
        </w:rPr>
      </w:pPr>
    </w:p>
    <w:p w14:paraId="68D56C40" w14:textId="77777777" w:rsidR="00132F98" w:rsidRDefault="00132F98">
      <w:pPr>
        <w:spacing w:line="240" w:lineRule="auto"/>
        <w:outlineLvl w:val="0"/>
        <w:rPr>
          <w:b/>
          <w:noProof/>
          <w:szCs w:val="22"/>
        </w:rPr>
      </w:pPr>
    </w:p>
    <w:p w14:paraId="68D56C41" w14:textId="77777777" w:rsidR="00132F98" w:rsidRDefault="00132F98">
      <w:pPr>
        <w:spacing w:line="240" w:lineRule="auto"/>
        <w:outlineLvl w:val="0"/>
        <w:rPr>
          <w:b/>
          <w:noProof/>
          <w:szCs w:val="22"/>
        </w:rPr>
      </w:pPr>
    </w:p>
    <w:p w14:paraId="68D56C42" w14:textId="77777777" w:rsidR="00132F98" w:rsidRDefault="00132F98">
      <w:pPr>
        <w:spacing w:line="240" w:lineRule="auto"/>
        <w:outlineLvl w:val="0"/>
        <w:rPr>
          <w:b/>
          <w:noProof/>
          <w:szCs w:val="22"/>
        </w:rPr>
      </w:pPr>
    </w:p>
    <w:p w14:paraId="68D56C43" w14:textId="77777777" w:rsidR="00132F98" w:rsidRDefault="00132F98">
      <w:pPr>
        <w:spacing w:line="240" w:lineRule="auto"/>
        <w:outlineLvl w:val="0"/>
        <w:rPr>
          <w:b/>
          <w:noProof/>
          <w:szCs w:val="22"/>
        </w:rPr>
      </w:pPr>
    </w:p>
    <w:p w14:paraId="68D56C44" w14:textId="77777777" w:rsidR="00132F98" w:rsidRDefault="00132F98">
      <w:pPr>
        <w:spacing w:line="240" w:lineRule="auto"/>
        <w:outlineLvl w:val="0"/>
        <w:rPr>
          <w:b/>
          <w:noProof/>
          <w:szCs w:val="22"/>
        </w:rPr>
      </w:pPr>
    </w:p>
    <w:p w14:paraId="68D56C45" w14:textId="77777777" w:rsidR="00132F98" w:rsidRDefault="00132F98">
      <w:pPr>
        <w:spacing w:line="240" w:lineRule="auto"/>
        <w:outlineLvl w:val="0"/>
        <w:rPr>
          <w:b/>
          <w:noProof/>
          <w:szCs w:val="22"/>
        </w:rPr>
      </w:pPr>
    </w:p>
    <w:p w14:paraId="68D56C46" w14:textId="77777777" w:rsidR="00132F98" w:rsidRDefault="00132F98">
      <w:pPr>
        <w:spacing w:line="240" w:lineRule="auto"/>
        <w:outlineLvl w:val="0"/>
        <w:rPr>
          <w:b/>
          <w:noProof/>
          <w:szCs w:val="22"/>
        </w:rPr>
      </w:pPr>
    </w:p>
    <w:p w14:paraId="68D56C47" w14:textId="77777777" w:rsidR="00132F98" w:rsidRDefault="00132F98">
      <w:pPr>
        <w:spacing w:line="240" w:lineRule="auto"/>
        <w:outlineLvl w:val="0"/>
        <w:rPr>
          <w:b/>
        </w:rPr>
      </w:pPr>
    </w:p>
    <w:p w14:paraId="68D56C48" w14:textId="77777777" w:rsidR="00132F98" w:rsidRDefault="00132F98">
      <w:pPr>
        <w:spacing w:line="240" w:lineRule="auto"/>
        <w:outlineLvl w:val="0"/>
        <w:rPr>
          <w:b/>
        </w:rPr>
      </w:pPr>
    </w:p>
    <w:p w14:paraId="68D56C49" w14:textId="77777777" w:rsidR="00132F98" w:rsidRDefault="00132F98">
      <w:pPr>
        <w:spacing w:line="240" w:lineRule="auto"/>
        <w:outlineLvl w:val="0"/>
        <w:rPr>
          <w:b/>
        </w:rPr>
      </w:pPr>
    </w:p>
    <w:p w14:paraId="68D56C4A" w14:textId="77777777" w:rsidR="00132F98" w:rsidRDefault="00132F98">
      <w:pPr>
        <w:spacing w:line="240" w:lineRule="auto"/>
        <w:outlineLvl w:val="0"/>
        <w:rPr>
          <w:b/>
        </w:rPr>
      </w:pPr>
    </w:p>
    <w:p w14:paraId="68D56C4B" w14:textId="77777777" w:rsidR="00132F98" w:rsidRDefault="00132F98">
      <w:pPr>
        <w:spacing w:line="240" w:lineRule="auto"/>
        <w:outlineLvl w:val="0"/>
        <w:rPr>
          <w:b/>
        </w:rPr>
      </w:pPr>
    </w:p>
    <w:p w14:paraId="68D56C4C" w14:textId="77777777" w:rsidR="00132F98" w:rsidRDefault="00584E7E">
      <w:pPr>
        <w:spacing w:line="240" w:lineRule="auto"/>
        <w:jc w:val="center"/>
        <w:outlineLvl w:val="0"/>
      </w:pPr>
      <w:r>
        <w:rPr>
          <w:b/>
        </w:rPr>
        <w:t>ANEKS I</w:t>
      </w:r>
    </w:p>
    <w:p w14:paraId="68D56C4D" w14:textId="77777777" w:rsidR="00132F98" w:rsidRDefault="00132F98">
      <w:pPr>
        <w:spacing w:line="240" w:lineRule="auto"/>
        <w:jc w:val="center"/>
        <w:outlineLvl w:val="0"/>
      </w:pPr>
    </w:p>
    <w:p w14:paraId="68D56C4E" w14:textId="77777777" w:rsidR="00132F98" w:rsidRDefault="00584E7E">
      <w:pPr>
        <w:pStyle w:val="TitleA"/>
      </w:pPr>
      <w:r>
        <w:t xml:space="preserve">CHARAKTERYSTYKA PRODUKTU LECZNICZEGO </w:t>
      </w:r>
    </w:p>
    <w:p w14:paraId="155AC8D1" w14:textId="77777777" w:rsidR="006D7DA3" w:rsidRDefault="006D7DA3"/>
    <w:p w14:paraId="08BAEC92" w14:textId="77777777" w:rsidR="006D7DA3" w:rsidRPr="006D7DA3" w:rsidRDefault="006D7DA3" w:rsidP="006D7DA3"/>
    <w:p w14:paraId="08AA5DFD" w14:textId="77777777" w:rsidR="006D7DA3" w:rsidRPr="006D7DA3" w:rsidRDefault="006D7DA3" w:rsidP="006D7DA3"/>
    <w:p w14:paraId="7910206D" w14:textId="77777777" w:rsidR="006D7DA3" w:rsidRPr="006D7DA3" w:rsidRDefault="006D7DA3" w:rsidP="006D7DA3"/>
    <w:p w14:paraId="211CF4DD" w14:textId="77777777" w:rsidR="006D7DA3" w:rsidRDefault="006D7DA3"/>
    <w:p w14:paraId="38159913" w14:textId="2F9E4B57" w:rsidR="006D7DA3" w:rsidRDefault="006D7DA3" w:rsidP="00584E7E">
      <w:pPr>
        <w:tabs>
          <w:tab w:val="clear" w:pos="567"/>
          <w:tab w:val="left" w:pos="5616"/>
        </w:tabs>
      </w:pPr>
      <w:r>
        <w:tab/>
      </w:r>
    </w:p>
    <w:p w14:paraId="68D56C4F" w14:textId="6EEA92FB" w:rsidR="00132F98" w:rsidRDefault="00584E7E">
      <w:pPr>
        <w:rPr>
          <w:b/>
          <w:bCs/>
          <w:szCs w:val="22"/>
        </w:rPr>
      </w:pPr>
      <w:r w:rsidRPr="006D7DA3">
        <w:br w:type="page"/>
      </w:r>
      <w:r>
        <w:rPr>
          <w:noProof/>
          <w:lang w:eastAsia="pl-PL"/>
        </w:rPr>
        <w:lastRenderedPageBreak/>
        <w:drawing>
          <wp:inline distT="0" distB="0" distL="0" distR="0" wp14:anchorId="68D57383" wp14:editId="68D57384">
            <wp:extent cx="196850" cy="177800"/>
            <wp:effectExtent l="0" t="0" r="0" b="0"/>
            <wp:docPr id="165185524" name="Picture 1097538572"/>
            <wp:cNvGraphicFramePr/>
            <a:graphic xmlns:a="http://schemas.openxmlformats.org/drawingml/2006/main">
              <a:graphicData uri="http://schemas.openxmlformats.org/drawingml/2006/picture">
                <pic:pic xmlns:pic="http://schemas.openxmlformats.org/drawingml/2006/picture">
                  <pic:nvPicPr>
                    <pic:cNvPr id="717231013" name="Picture 1097538572"/>
                    <pic:cNvPicPr/>
                  </pic:nvPicPr>
                  <pic:blipFill>
                    <a:blip r:embed="rId11">
                      <a:extLst>
                        <a:ext uri="{28A0092B-C50C-407E-A947-70E740481C1C}">
                          <a14:useLocalDpi xmlns:a14="http://schemas.microsoft.com/office/drawing/2010/main" val="0"/>
                        </a:ext>
                      </a:extLst>
                    </a:blip>
                    <a:stretch>
                      <a:fillRect/>
                    </a:stretch>
                  </pic:blipFill>
                  <pic:spPr>
                    <a:xfrm>
                      <a:off x="0" y="0"/>
                      <a:ext cx="196850" cy="177800"/>
                    </a:xfrm>
                    <a:prstGeom prst="rect">
                      <a:avLst/>
                    </a:prstGeom>
                  </pic:spPr>
                </pic:pic>
              </a:graphicData>
            </a:graphic>
          </wp:inline>
        </w:drawing>
      </w:r>
      <w:r>
        <w:t xml:space="preserve">Niniejszy produkt leczniczy będzie dodatkowo monitorowany. Umożliwi to szybkie zidentyfikowanie nowych informacji o bezpieczeństwie. Osoby należące do </w:t>
      </w:r>
      <w:r>
        <w:t>fachowego personelu medycznego powinny zgłaszać wszelkie podejrzewane działania niepożądane. Aby dowiedzieć się, jak zgłaszać działania niepożądane — patrz punkt 4.8.</w:t>
      </w:r>
    </w:p>
    <w:p w14:paraId="68D56C50" w14:textId="77777777" w:rsidR="00132F98" w:rsidRDefault="00132F98">
      <w:pPr>
        <w:spacing w:line="240" w:lineRule="auto"/>
        <w:rPr>
          <w:szCs w:val="22"/>
        </w:rPr>
      </w:pPr>
    </w:p>
    <w:p w14:paraId="68D56C51" w14:textId="77777777" w:rsidR="00132F98" w:rsidRDefault="00132F98">
      <w:pPr>
        <w:spacing w:line="240" w:lineRule="auto"/>
        <w:rPr>
          <w:szCs w:val="22"/>
        </w:rPr>
      </w:pPr>
    </w:p>
    <w:p w14:paraId="68D56C52" w14:textId="77777777" w:rsidR="00132F98" w:rsidRDefault="00584E7E">
      <w:pPr>
        <w:suppressAutoHyphens/>
        <w:spacing w:line="240" w:lineRule="auto"/>
        <w:ind w:left="567" w:hanging="567"/>
        <w:rPr>
          <w:noProof/>
          <w:szCs w:val="22"/>
        </w:rPr>
      </w:pPr>
      <w:r>
        <w:rPr>
          <w:b/>
          <w:szCs w:val="22"/>
        </w:rPr>
        <w:t>1.</w:t>
      </w:r>
      <w:r>
        <w:rPr>
          <w:b/>
          <w:szCs w:val="22"/>
        </w:rPr>
        <w:tab/>
        <w:t>NAZWA PRODUKTU LECZNICZEGO</w:t>
      </w:r>
    </w:p>
    <w:p w14:paraId="68D56C53" w14:textId="77777777" w:rsidR="00132F98" w:rsidRDefault="00132F98">
      <w:pPr>
        <w:spacing w:line="240" w:lineRule="auto"/>
        <w:rPr>
          <w:iCs/>
          <w:noProof/>
          <w:szCs w:val="22"/>
        </w:rPr>
      </w:pPr>
    </w:p>
    <w:p w14:paraId="68D56C54" w14:textId="77777777" w:rsidR="00132F98" w:rsidRDefault="00584E7E">
      <w:pPr>
        <w:widowControl w:val="0"/>
        <w:spacing w:line="240" w:lineRule="auto"/>
        <w:rPr>
          <w:noProof/>
          <w:szCs w:val="22"/>
        </w:rPr>
      </w:pPr>
      <w:r>
        <w:t>Fintepla 2,2 mg/ml roztwór doustny</w:t>
      </w:r>
    </w:p>
    <w:p w14:paraId="68D56C55" w14:textId="77777777" w:rsidR="00132F98" w:rsidRDefault="00132F98">
      <w:pPr>
        <w:spacing w:line="240" w:lineRule="auto"/>
        <w:rPr>
          <w:iCs/>
          <w:noProof/>
          <w:szCs w:val="22"/>
        </w:rPr>
      </w:pPr>
    </w:p>
    <w:p w14:paraId="68D56C56" w14:textId="77777777" w:rsidR="00132F98" w:rsidRDefault="00132F98">
      <w:pPr>
        <w:spacing w:line="240" w:lineRule="auto"/>
        <w:rPr>
          <w:iCs/>
          <w:noProof/>
          <w:szCs w:val="22"/>
        </w:rPr>
      </w:pPr>
    </w:p>
    <w:p w14:paraId="68D56C57" w14:textId="77777777" w:rsidR="00132F98" w:rsidRDefault="00584E7E">
      <w:pPr>
        <w:suppressAutoHyphens/>
        <w:spacing w:line="240" w:lineRule="auto"/>
        <w:ind w:left="567" w:hanging="567"/>
        <w:rPr>
          <w:noProof/>
          <w:szCs w:val="22"/>
        </w:rPr>
      </w:pPr>
      <w:r>
        <w:rPr>
          <w:b/>
          <w:szCs w:val="22"/>
        </w:rPr>
        <w:t>2.</w:t>
      </w:r>
      <w:r>
        <w:rPr>
          <w:b/>
          <w:szCs w:val="22"/>
        </w:rPr>
        <w:tab/>
        <w:t>SKŁAD JAKOŚCIOWY</w:t>
      </w:r>
      <w:r>
        <w:rPr>
          <w:b/>
          <w:szCs w:val="22"/>
        </w:rPr>
        <w:t xml:space="preserve"> I ILOŚCIOWY</w:t>
      </w:r>
    </w:p>
    <w:p w14:paraId="68D56C58" w14:textId="77777777" w:rsidR="00132F98" w:rsidRDefault="00132F98">
      <w:pPr>
        <w:spacing w:line="240" w:lineRule="auto"/>
        <w:rPr>
          <w:iCs/>
          <w:noProof/>
          <w:szCs w:val="22"/>
        </w:rPr>
      </w:pPr>
    </w:p>
    <w:p w14:paraId="68D56C59" w14:textId="77777777" w:rsidR="00132F98" w:rsidRDefault="00584E7E">
      <w:pPr>
        <w:spacing w:line="240" w:lineRule="auto"/>
        <w:rPr>
          <w:szCs w:val="22"/>
        </w:rPr>
      </w:pPr>
      <w:r>
        <w:t>1 ml produktu leczniczego zawiera 2,2 mg fenfluraminy (w postaci fenfluraminy chlorowodorku).</w:t>
      </w:r>
    </w:p>
    <w:p w14:paraId="68D56C5A" w14:textId="77777777" w:rsidR="00132F98" w:rsidRDefault="00132F98">
      <w:pPr>
        <w:spacing w:line="240" w:lineRule="auto"/>
        <w:rPr>
          <w:iCs/>
          <w:noProof/>
          <w:szCs w:val="22"/>
        </w:rPr>
      </w:pPr>
    </w:p>
    <w:p w14:paraId="68D56C5B" w14:textId="77777777" w:rsidR="00132F98" w:rsidRDefault="00584E7E">
      <w:pPr>
        <w:pStyle w:val="EMEAEnBodyText"/>
        <w:autoSpaceDE w:val="0"/>
        <w:autoSpaceDN w:val="0"/>
        <w:adjustRightInd w:val="0"/>
        <w:spacing w:before="0" w:after="0"/>
        <w:jc w:val="left"/>
        <w:rPr>
          <w:u w:val="single"/>
        </w:rPr>
      </w:pPr>
      <w:r>
        <w:rPr>
          <w:u w:val="single"/>
        </w:rPr>
        <w:t>Substancje pomocnicze o znanym działaniu</w:t>
      </w:r>
    </w:p>
    <w:p w14:paraId="68D56C5C" w14:textId="77777777" w:rsidR="00132F98" w:rsidRDefault="00132F98">
      <w:pPr>
        <w:spacing w:line="240" w:lineRule="auto"/>
        <w:rPr>
          <w:szCs w:val="22"/>
        </w:rPr>
      </w:pPr>
    </w:p>
    <w:p w14:paraId="68D56C5D" w14:textId="77777777" w:rsidR="00132F98" w:rsidRDefault="00584E7E">
      <w:pPr>
        <w:spacing w:line="240" w:lineRule="auto"/>
        <w:rPr>
          <w:szCs w:val="22"/>
        </w:rPr>
      </w:pPr>
      <w:r>
        <w:t>Glukoza (z kukurydzy): 0,627 mg/ml</w:t>
      </w:r>
    </w:p>
    <w:p w14:paraId="68D56C5E" w14:textId="77777777" w:rsidR="00132F98" w:rsidRDefault="00584E7E">
      <w:pPr>
        <w:spacing w:line="240" w:lineRule="auto"/>
      </w:pPr>
      <w:r>
        <w:t>Sól sodowa parahydroksybenzoesanu etylu (E215): 0,23 mg/ml</w:t>
      </w:r>
    </w:p>
    <w:p w14:paraId="68D56C5F" w14:textId="77777777" w:rsidR="00132F98" w:rsidRDefault="00584E7E">
      <w:pPr>
        <w:spacing w:line="240" w:lineRule="auto"/>
      </w:pPr>
      <w:r>
        <w:t xml:space="preserve">Sól </w:t>
      </w:r>
      <w:r>
        <w:t>sodowa parahydroksybenzoesanu metylu (E219): 2,3 mg/ml</w:t>
      </w:r>
    </w:p>
    <w:p w14:paraId="68D56C60" w14:textId="77777777" w:rsidR="00132F98" w:rsidRDefault="00584E7E">
      <w:pPr>
        <w:spacing w:line="240" w:lineRule="auto"/>
        <w:rPr>
          <w:szCs w:val="22"/>
        </w:rPr>
      </w:pPr>
      <w:r>
        <w:t>Siarki dwutlenek (E220): 0,000009 mg/ml</w:t>
      </w:r>
    </w:p>
    <w:p w14:paraId="68D56C61" w14:textId="77777777" w:rsidR="00132F98" w:rsidRDefault="00132F98">
      <w:pPr>
        <w:spacing w:line="240" w:lineRule="auto"/>
      </w:pPr>
    </w:p>
    <w:p w14:paraId="68D56C62" w14:textId="77777777" w:rsidR="00132F98" w:rsidRDefault="00584E7E">
      <w:pPr>
        <w:spacing w:line="240" w:lineRule="auto"/>
      </w:pPr>
      <w:r>
        <w:t>Pełny wykaz substancji pomocniczych, patrz punkt 6.1.</w:t>
      </w:r>
    </w:p>
    <w:p w14:paraId="68D56C63" w14:textId="77777777" w:rsidR="00132F98" w:rsidRDefault="00132F98">
      <w:pPr>
        <w:spacing w:line="240" w:lineRule="auto"/>
        <w:rPr>
          <w:iCs/>
          <w:noProof/>
          <w:szCs w:val="22"/>
        </w:rPr>
      </w:pPr>
    </w:p>
    <w:p w14:paraId="68D56C64" w14:textId="77777777" w:rsidR="00132F98" w:rsidRDefault="00132F98">
      <w:pPr>
        <w:spacing w:line="240" w:lineRule="auto"/>
        <w:rPr>
          <w:iCs/>
          <w:noProof/>
          <w:szCs w:val="22"/>
        </w:rPr>
      </w:pPr>
    </w:p>
    <w:p w14:paraId="68D56C65" w14:textId="77777777" w:rsidR="00132F98" w:rsidRDefault="00584E7E">
      <w:pPr>
        <w:suppressAutoHyphens/>
        <w:spacing w:line="240" w:lineRule="auto"/>
        <w:rPr>
          <w:caps/>
          <w:noProof/>
          <w:szCs w:val="22"/>
        </w:rPr>
      </w:pPr>
      <w:r>
        <w:rPr>
          <w:b/>
          <w:szCs w:val="22"/>
        </w:rPr>
        <w:t>3.</w:t>
      </w:r>
      <w:r>
        <w:rPr>
          <w:b/>
          <w:szCs w:val="22"/>
        </w:rPr>
        <w:tab/>
        <w:t>POSTAĆ FARMACEUTYCZNA</w:t>
      </w:r>
    </w:p>
    <w:p w14:paraId="68D56C66" w14:textId="77777777" w:rsidR="00132F98" w:rsidRDefault="00132F98">
      <w:pPr>
        <w:spacing w:line="240" w:lineRule="auto"/>
        <w:rPr>
          <w:noProof/>
          <w:szCs w:val="22"/>
        </w:rPr>
      </w:pPr>
    </w:p>
    <w:p w14:paraId="68D56C67" w14:textId="77777777" w:rsidR="00132F98" w:rsidRDefault="00584E7E">
      <w:r>
        <w:t>Roztwór doustny.</w:t>
      </w:r>
    </w:p>
    <w:p w14:paraId="68D56C68" w14:textId="77777777" w:rsidR="00132F98" w:rsidRDefault="00132F98"/>
    <w:p w14:paraId="68D56C69" w14:textId="77777777" w:rsidR="00132F98" w:rsidRDefault="00584E7E">
      <w:pPr>
        <w:spacing w:line="240" w:lineRule="auto"/>
        <w:rPr>
          <w:noProof/>
          <w:szCs w:val="22"/>
        </w:rPr>
      </w:pPr>
      <w:r>
        <w:t>Przejrzysta, bezbarwna, nieznacznie lepka ciecz o pH wynoszą</w:t>
      </w:r>
      <w:r>
        <w:t>cym 5.</w:t>
      </w:r>
    </w:p>
    <w:p w14:paraId="68D56C6A" w14:textId="77777777" w:rsidR="00132F98" w:rsidRDefault="00132F98">
      <w:pPr>
        <w:spacing w:line="240" w:lineRule="auto"/>
        <w:rPr>
          <w:noProof/>
          <w:szCs w:val="22"/>
        </w:rPr>
      </w:pPr>
    </w:p>
    <w:p w14:paraId="68D56C6B" w14:textId="77777777" w:rsidR="00132F98" w:rsidRDefault="00132F98">
      <w:pPr>
        <w:spacing w:line="240" w:lineRule="auto"/>
        <w:rPr>
          <w:noProof/>
          <w:szCs w:val="22"/>
        </w:rPr>
      </w:pPr>
    </w:p>
    <w:p w14:paraId="68D56C6C" w14:textId="77777777" w:rsidR="00132F98" w:rsidRDefault="00584E7E">
      <w:pPr>
        <w:suppressAutoHyphens/>
        <w:spacing w:line="240" w:lineRule="auto"/>
        <w:ind w:left="567" w:hanging="567"/>
        <w:rPr>
          <w:caps/>
          <w:noProof/>
          <w:szCs w:val="22"/>
        </w:rPr>
      </w:pPr>
      <w:r>
        <w:rPr>
          <w:b/>
          <w:caps/>
          <w:szCs w:val="22"/>
        </w:rPr>
        <w:t>4.</w:t>
      </w:r>
      <w:r>
        <w:rPr>
          <w:b/>
          <w:caps/>
          <w:szCs w:val="22"/>
        </w:rPr>
        <w:tab/>
      </w:r>
      <w:r>
        <w:rPr>
          <w:b/>
          <w:szCs w:val="22"/>
        </w:rPr>
        <w:t>SZCZEGÓŁOWE DANE KLINICZNE</w:t>
      </w:r>
    </w:p>
    <w:p w14:paraId="68D56C6D" w14:textId="77777777" w:rsidR="00132F98" w:rsidRDefault="00132F98">
      <w:pPr>
        <w:spacing w:line="240" w:lineRule="auto"/>
        <w:rPr>
          <w:noProof/>
          <w:szCs w:val="22"/>
        </w:rPr>
      </w:pPr>
    </w:p>
    <w:p w14:paraId="68D56C6E" w14:textId="77777777" w:rsidR="00132F98" w:rsidRDefault="00584E7E">
      <w:pPr>
        <w:spacing w:line="240" w:lineRule="auto"/>
        <w:ind w:left="567" w:hanging="567"/>
        <w:outlineLvl w:val="0"/>
        <w:rPr>
          <w:noProof/>
          <w:szCs w:val="22"/>
        </w:rPr>
      </w:pPr>
      <w:r>
        <w:rPr>
          <w:b/>
          <w:szCs w:val="22"/>
        </w:rPr>
        <w:t>4.1</w:t>
      </w:r>
      <w:r>
        <w:rPr>
          <w:b/>
          <w:szCs w:val="22"/>
        </w:rPr>
        <w:tab/>
        <w:t>Wskazania do stosowania</w:t>
      </w:r>
    </w:p>
    <w:p w14:paraId="68D56C6F" w14:textId="77777777" w:rsidR="00132F98" w:rsidRDefault="00132F98">
      <w:pPr>
        <w:spacing w:line="240" w:lineRule="auto"/>
        <w:rPr>
          <w:noProof/>
          <w:szCs w:val="22"/>
        </w:rPr>
      </w:pPr>
    </w:p>
    <w:p w14:paraId="68D56C70" w14:textId="77777777" w:rsidR="00132F98" w:rsidRDefault="00584E7E">
      <w:r>
        <w:t xml:space="preserve">Produkt Fintepla jest wskazany w leczeniu napadów padaczkowych związanych z zespołem Dravet i zespołem Lennoxa-Gastauta jako dodatek do leczenia innymi lekami </w:t>
      </w:r>
      <w:r>
        <w:t>przeciwpadaczkowymi u pacjentów w wieku od 2 lat.</w:t>
      </w:r>
    </w:p>
    <w:p w14:paraId="68D56C71" w14:textId="77777777" w:rsidR="00132F98" w:rsidRDefault="00132F98">
      <w:pPr>
        <w:spacing w:line="240" w:lineRule="auto"/>
        <w:rPr>
          <w:szCs w:val="22"/>
        </w:rPr>
      </w:pPr>
    </w:p>
    <w:p w14:paraId="68D56C72" w14:textId="77777777" w:rsidR="00132F98" w:rsidRDefault="00132F98">
      <w:pPr>
        <w:spacing w:line="240" w:lineRule="auto"/>
        <w:rPr>
          <w:szCs w:val="22"/>
        </w:rPr>
      </w:pPr>
    </w:p>
    <w:p w14:paraId="68D56C73" w14:textId="77777777" w:rsidR="00132F98" w:rsidRDefault="00584E7E">
      <w:pPr>
        <w:spacing w:line="240" w:lineRule="auto"/>
        <w:outlineLvl w:val="0"/>
        <w:rPr>
          <w:b/>
          <w:noProof/>
          <w:szCs w:val="22"/>
        </w:rPr>
      </w:pPr>
      <w:r>
        <w:rPr>
          <w:b/>
          <w:szCs w:val="22"/>
        </w:rPr>
        <w:t>4.2</w:t>
      </w:r>
      <w:r>
        <w:rPr>
          <w:b/>
          <w:szCs w:val="22"/>
        </w:rPr>
        <w:tab/>
        <w:t>Dawkowanie i sposób podawania</w:t>
      </w:r>
    </w:p>
    <w:p w14:paraId="68D56C74" w14:textId="77777777" w:rsidR="00132F98" w:rsidRDefault="00132F98">
      <w:pPr>
        <w:spacing w:line="240" w:lineRule="auto"/>
        <w:rPr>
          <w:szCs w:val="22"/>
        </w:rPr>
      </w:pPr>
    </w:p>
    <w:p w14:paraId="68D56C75" w14:textId="77777777" w:rsidR="00132F98" w:rsidRDefault="00584E7E">
      <w:pPr>
        <w:spacing w:line="240" w:lineRule="auto"/>
        <w:rPr>
          <w:szCs w:val="22"/>
        </w:rPr>
      </w:pPr>
      <w:r>
        <w:t>Leczenie produktem Fintepla powinno być rozpoczynane i nadzorowane przez lekarzy z doświadczeniem w leczeniu padaczki.</w:t>
      </w:r>
    </w:p>
    <w:p w14:paraId="68D56C76" w14:textId="77777777" w:rsidR="00132F98" w:rsidRDefault="00132F98">
      <w:pPr>
        <w:spacing w:line="240" w:lineRule="auto"/>
      </w:pPr>
    </w:p>
    <w:p w14:paraId="68D56C77" w14:textId="77777777" w:rsidR="00132F98" w:rsidRDefault="00584E7E">
      <w:pPr>
        <w:shd w:val="clear" w:color="auto" w:fill="FFFFFF" w:themeFill="background1"/>
        <w:spacing w:line="240" w:lineRule="auto"/>
      </w:pPr>
      <w:r>
        <w:t>Produkt Fintepla jest przepisywany i wydawany zgo</w:t>
      </w:r>
      <w:r>
        <w:t>dnie z programem kontrolowanego dostępu do produktu Fintepla (patrz punkt 4.4).</w:t>
      </w:r>
    </w:p>
    <w:p w14:paraId="68D56C78" w14:textId="77777777" w:rsidR="00132F98" w:rsidRDefault="00132F98">
      <w:pPr>
        <w:spacing w:line="240" w:lineRule="auto"/>
      </w:pPr>
    </w:p>
    <w:p w14:paraId="68D56C79" w14:textId="77777777" w:rsidR="00132F98" w:rsidRDefault="00584E7E">
      <w:pPr>
        <w:keepNext/>
        <w:keepLines/>
        <w:spacing w:line="240" w:lineRule="auto"/>
        <w:rPr>
          <w:szCs w:val="22"/>
          <w:u w:val="single"/>
        </w:rPr>
      </w:pPr>
      <w:r>
        <w:rPr>
          <w:szCs w:val="22"/>
          <w:u w:val="single"/>
        </w:rPr>
        <w:lastRenderedPageBreak/>
        <w:t>Dawkowanie</w:t>
      </w:r>
    </w:p>
    <w:p w14:paraId="68D56C7A" w14:textId="77777777" w:rsidR="00132F98" w:rsidRDefault="00132F98">
      <w:pPr>
        <w:keepNext/>
        <w:keepLines/>
        <w:spacing w:line="240" w:lineRule="auto"/>
        <w:rPr>
          <w:szCs w:val="22"/>
        </w:rPr>
      </w:pPr>
    </w:p>
    <w:p w14:paraId="68D56C7B" w14:textId="77777777" w:rsidR="00132F98" w:rsidRDefault="00584E7E">
      <w:pPr>
        <w:keepNext/>
        <w:keepLines/>
        <w:spacing w:line="240" w:lineRule="auto"/>
        <w:rPr>
          <w:bCs/>
          <w:i/>
          <w:iCs/>
          <w:szCs w:val="22"/>
          <w:u w:val="single"/>
        </w:rPr>
      </w:pPr>
      <w:r>
        <w:rPr>
          <w:bCs/>
          <w:i/>
          <w:iCs/>
          <w:szCs w:val="22"/>
          <w:u w:val="single"/>
        </w:rPr>
        <w:t>Dzieci i młodzież (dzieci w wieku od 2 lat) oraz osoby dorosłe</w:t>
      </w:r>
    </w:p>
    <w:p w14:paraId="68D56C7C" w14:textId="77777777" w:rsidR="00132F98" w:rsidRDefault="00132F98">
      <w:pPr>
        <w:keepNext/>
        <w:keepLines/>
        <w:tabs>
          <w:tab w:val="clear" w:pos="567"/>
        </w:tabs>
        <w:spacing w:line="240" w:lineRule="auto"/>
        <w:rPr>
          <w:b/>
          <w:szCs w:val="22"/>
        </w:rPr>
      </w:pPr>
    </w:p>
    <w:p w14:paraId="68D56C7D" w14:textId="77777777" w:rsidR="00132F98" w:rsidRDefault="00584E7E">
      <w:pPr>
        <w:keepNext/>
        <w:keepLines/>
        <w:spacing w:line="240" w:lineRule="auto"/>
        <w:rPr>
          <w:b/>
          <w:szCs w:val="22"/>
        </w:rPr>
      </w:pPr>
      <w:r>
        <w:rPr>
          <w:b/>
          <w:bCs/>
          <w:szCs w:val="22"/>
          <w:lang w:val="pl"/>
        </w:rPr>
        <w:t>Tabela 1. Zalecenia dotyczące dawkowania w przypadku zespołu Dravet</w:t>
      </w:r>
    </w:p>
    <w:p w14:paraId="68D56C7E" w14:textId="77777777" w:rsidR="00132F98" w:rsidRDefault="00132F98">
      <w:pPr>
        <w:keepNext/>
        <w:keepLines/>
        <w:spacing w:line="240" w:lineRule="auto"/>
        <w:rPr>
          <w:szCs w:val="22"/>
        </w:rPr>
      </w:pPr>
    </w:p>
    <w:tbl>
      <w:tblPr>
        <w:tblStyle w:val="TableGrid"/>
        <w:tblW w:w="5000" w:type="pct"/>
        <w:tblLook w:val="04A0" w:firstRow="1" w:lastRow="0" w:firstColumn="1" w:lastColumn="0" w:noHBand="0" w:noVBand="1"/>
      </w:tblPr>
      <w:tblGrid>
        <w:gridCol w:w="3566"/>
        <w:gridCol w:w="2750"/>
        <w:gridCol w:w="2745"/>
      </w:tblGrid>
      <w:tr w:rsidR="00132F98" w14:paraId="68D56C86" w14:textId="77777777">
        <w:trPr>
          <w:trHeight w:val="417"/>
        </w:trPr>
        <w:tc>
          <w:tcPr>
            <w:tcW w:w="3790" w:type="dxa"/>
            <w:tcBorders>
              <w:bottom w:val="single" w:sz="4" w:space="0" w:color="auto"/>
            </w:tcBorders>
            <w:vAlign w:val="center"/>
          </w:tcPr>
          <w:p w14:paraId="68D56C7F" w14:textId="77777777" w:rsidR="00132F98" w:rsidRDefault="00132F98">
            <w:pPr>
              <w:keepNext/>
              <w:keepLines/>
              <w:jc w:val="center"/>
              <w:rPr>
                <w:rFonts w:ascii="Times New Roman" w:hAnsi="Times New Roman"/>
                <w:color w:val="000000"/>
              </w:rPr>
            </w:pPr>
          </w:p>
        </w:tc>
        <w:tc>
          <w:tcPr>
            <w:tcW w:w="2930" w:type="dxa"/>
            <w:vAlign w:val="center"/>
          </w:tcPr>
          <w:p w14:paraId="68D56C80" w14:textId="77777777" w:rsidR="00132F98" w:rsidRDefault="00132F98">
            <w:pPr>
              <w:keepNext/>
              <w:keepLines/>
              <w:jc w:val="center"/>
              <w:rPr>
                <w:rFonts w:ascii="Times New Roman" w:hAnsi="Times New Roman"/>
                <w:b/>
                <w:bCs/>
                <w:color w:val="000000"/>
                <w:u w:val="single"/>
              </w:rPr>
            </w:pPr>
          </w:p>
          <w:p w14:paraId="68D56C81" w14:textId="77777777" w:rsidR="00132F98" w:rsidRDefault="00584E7E">
            <w:pPr>
              <w:keepNext/>
              <w:keepLines/>
              <w:jc w:val="center"/>
              <w:rPr>
                <w:rFonts w:ascii="Times New Roman" w:hAnsi="Times New Roman"/>
                <w:color w:val="000000"/>
              </w:rPr>
            </w:pPr>
            <w:r>
              <w:rPr>
                <w:rFonts w:ascii="Times New Roman" w:hAnsi="Times New Roman"/>
                <w:b/>
                <w:bCs/>
                <w:color w:val="000000"/>
                <w:u w:val="single"/>
                <w:lang w:val="pl"/>
              </w:rPr>
              <w:t>bez przyjmowania</w:t>
            </w:r>
            <w:r>
              <w:rPr>
                <w:rFonts w:ascii="Times New Roman" w:hAnsi="Times New Roman"/>
                <w:color w:val="000000"/>
                <w:lang w:val="pl"/>
              </w:rPr>
              <w:t xml:space="preserve"> styrypentolu</w:t>
            </w:r>
          </w:p>
          <w:p w14:paraId="68D56C82" w14:textId="77777777" w:rsidR="00132F98" w:rsidRDefault="00132F98">
            <w:pPr>
              <w:keepNext/>
              <w:keepLines/>
              <w:jc w:val="center"/>
              <w:rPr>
                <w:rFonts w:ascii="Times New Roman" w:hAnsi="Times New Roman"/>
                <w:b/>
                <w:bCs/>
                <w:color w:val="000000"/>
              </w:rPr>
            </w:pPr>
          </w:p>
        </w:tc>
        <w:tc>
          <w:tcPr>
            <w:tcW w:w="2930" w:type="dxa"/>
            <w:vAlign w:val="center"/>
          </w:tcPr>
          <w:p w14:paraId="68D56C83" w14:textId="77777777" w:rsidR="00132F98" w:rsidRDefault="00132F98">
            <w:pPr>
              <w:keepNext/>
              <w:keepLines/>
              <w:jc w:val="center"/>
              <w:rPr>
                <w:rFonts w:ascii="Times New Roman" w:hAnsi="Times New Roman"/>
                <w:b/>
                <w:bCs/>
                <w:color w:val="000000"/>
                <w:u w:val="single"/>
              </w:rPr>
            </w:pPr>
          </w:p>
          <w:p w14:paraId="68D56C84" w14:textId="77777777" w:rsidR="00132F98" w:rsidRDefault="00584E7E">
            <w:pPr>
              <w:keepNext/>
              <w:keepLines/>
              <w:jc w:val="center"/>
              <w:rPr>
                <w:rFonts w:ascii="Times New Roman" w:hAnsi="Times New Roman"/>
                <w:color w:val="000000"/>
              </w:rPr>
            </w:pPr>
            <w:r>
              <w:rPr>
                <w:rFonts w:ascii="Times New Roman" w:hAnsi="Times New Roman"/>
                <w:b/>
                <w:bCs/>
                <w:color w:val="000000"/>
                <w:u w:val="single"/>
                <w:lang w:val="pl"/>
              </w:rPr>
              <w:t>przyjmowanie</w:t>
            </w:r>
            <w:r>
              <w:rPr>
                <w:rFonts w:ascii="Times New Roman" w:hAnsi="Times New Roman"/>
                <w:color w:val="000000"/>
                <w:lang w:val="pl"/>
              </w:rPr>
              <w:t xml:space="preserve"> styrypentolu</w:t>
            </w:r>
          </w:p>
          <w:p w14:paraId="68D56C85" w14:textId="77777777" w:rsidR="00132F98" w:rsidRDefault="00132F98">
            <w:pPr>
              <w:keepNext/>
              <w:keepLines/>
              <w:jc w:val="center"/>
              <w:rPr>
                <w:rFonts w:ascii="Times New Roman" w:hAnsi="Times New Roman"/>
                <w:b/>
                <w:bCs/>
                <w:color w:val="000000"/>
              </w:rPr>
            </w:pPr>
          </w:p>
        </w:tc>
      </w:tr>
      <w:tr w:rsidR="00132F98" w14:paraId="68D56C89" w14:textId="77777777">
        <w:trPr>
          <w:trHeight w:val="444"/>
        </w:trPr>
        <w:tc>
          <w:tcPr>
            <w:tcW w:w="3790" w:type="dxa"/>
            <w:tcBorders>
              <w:top w:val="single" w:sz="4" w:space="0" w:color="auto"/>
            </w:tcBorders>
            <w:vAlign w:val="center"/>
          </w:tcPr>
          <w:p w14:paraId="68D56C87" w14:textId="77777777" w:rsidR="00132F98" w:rsidRDefault="00584E7E">
            <w:pPr>
              <w:keepNext/>
              <w:keepLines/>
              <w:jc w:val="center"/>
              <w:rPr>
                <w:rFonts w:ascii="Times New Roman" w:hAnsi="Times New Roman"/>
                <w:color w:val="000000"/>
              </w:rPr>
            </w:pPr>
            <w:r>
              <w:rPr>
                <w:rFonts w:ascii="Times New Roman" w:hAnsi="Times New Roman"/>
                <w:color w:val="000000"/>
                <w:lang w:val="pl"/>
              </w:rPr>
              <w:t>Dawka początkowa – pierwszy tydzień</w:t>
            </w:r>
          </w:p>
        </w:tc>
        <w:tc>
          <w:tcPr>
            <w:tcW w:w="5860" w:type="dxa"/>
            <w:gridSpan w:val="2"/>
            <w:vAlign w:val="center"/>
          </w:tcPr>
          <w:p w14:paraId="68D56C88" w14:textId="77777777" w:rsidR="00132F98" w:rsidRDefault="00584E7E">
            <w:pPr>
              <w:keepNext/>
              <w:keepLines/>
              <w:jc w:val="center"/>
              <w:rPr>
                <w:rFonts w:ascii="Times New Roman" w:hAnsi="Times New Roman"/>
                <w:color w:val="000000"/>
              </w:rPr>
            </w:pPr>
            <w:r>
              <w:rPr>
                <w:rFonts w:ascii="Times New Roman" w:eastAsia="Arial Unicode MS" w:hAnsi="Times New Roman"/>
                <w:szCs w:val="24"/>
                <w:lang w:val="pl"/>
              </w:rPr>
              <w:t>0,1 mg/kg mc. przyjmowane dwa razy na dobę (0,2 mg/kg mc. na dobę)</w:t>
            </w:r>
          </w:p>
        </w:tc>
      </w:tr>
      <w:tr w:rsidR="00132F98" w14:paraId="68D56C90" w14:textId="77777777">
        <w:trPr>
          <w:trHeight w:val="447"/>
        </w:trPr>
        <w:tc>
          <w:tcPr>
            <w:tcW w:w="3790" w:type="dxa"/>
            <w:vAlign w:val="center"/>
          </w:tcPr>
          <w:p w14:paraId="68D56C8A" w14:textId="77777777" w:rsidR="00132F98" w:rsidRDefault="00584E7E">
            <w:pPr>
              <w:jc w:val="center"/>
              <w:rPr>
                <w:rFonts w:ascii="Times New Roman" w:hAnsi="Times New Roman"/>
                <w:color w:val="000000"/>
              </w:rPr>
            </w:pPr>
            <w:r>
              <w:rPr>
                <w:rFonts w:ascii="Times New Roman" w:hAnsi="Times New Roman"/>
                <w:color w:val="000000"/>
                <w:lang w:val="pl"/>
              </w:rPr>
              <w:t>Dzień 7. – drugi tydzień*</w:t>
            </w:r>
          </w:p>
        </w:tc>
        <w:tc>
          <w:tcPr>
            <w:tcW w:w="2930" w:type="dxa"/>
            <w:vAlign w:val="center"/>
          </w:tcPr>
          <w:p w14:paraId="68D56C8B"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0,2 mg/kg mc. dwa razy na dobę (0,4 mg/kg mc. na dobę)</w:t>
            </w:r>
          </w:p>
        </w:tc>
        <w:tc>
          <w:tcPr>
            <w:tcW w:w="2930" w:type="dxa"/>
            <w:vAlign w:val="center"/>
          </w:tcPr>
          <w:p w14:paraId="68D56C8C" w14:textId="77777777" w:rsidR="00132F98" w:rsidRDefault="00132F98">
            <w:pPr>
              <w:jc w:val="center"/>
              <w:rPr>
                <w:rFonts w:ascii="Times New Roman" w:eastAsia="Arial Unicode MS" w:hAnsi="Times New Roman"/>
                <w:szCs w:val="24"/>
              </w:rPr>
            </w:pPr>
          </w:p>
          <w:p w14:paraId="68D56C8D"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 xml:space="preserve">Dawka </w:t>
            </w:r>
            <w:r>
              <w:rPr>
                <w:rFonts w:ascii="Times New Roman" w:eastAsia="Arial Unicode MS" w:hAnsi="Times New Roman"/>
                <w:szCs w:val="24"/>
                <w:lang w:val="pl"/>
              </w:rPr>
              <w:t>podtrzymująca</w:t>
            </w:r>
          </w:p>
          <w:p w14:paraId="68D56C8E"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0,2 mg/kg mc. dwa razy na dobę (0,4 mg/kg mc. na dobę)</w:t>
            </w:r>
          </w:p>
          <w:p w14:paraId="68D56C8F" w14:textId="77777777" w:rsidR="00132F98" w:rsidRDefault="00132F98">
            <w:pPr>
              <w:jc w:val="center"/>
              <w:rPr>
                <w:rFonts w:ascii="Times New Roman" w:hAnsi="Times New Roman"/>
                <w:color w:val="000000"/>
              </w:rPr>
            </w:pPr>
          </w:p>
        </w:tc>
      </w:tr>
      <w:tr w:rsidR="00132F98" w14:paraId="68D56C95" w14:textId="77777777">
        <w:tc>
          <w:tcPr>
            <w:tcW w:w="3790" w:type="dxa"/>
            <w:vAlign w:val="center"/>
          </w:tcPr>
          <w:p w14:paraId="68D56C91" w14:textId="77777777" w:rsidR="00132F98" w:rsidRDefault="00584E7E">
            <w:pPr>
              <w:jc w:val="center"/>
              <w:rPr>
                <w:rFonts w:ascii="Times New Roman" w:hAnsi="Times New Roman"/>
                <w:color w:val="000000"/>
              </w:rPr>
            </w:pPr>
            <w:r>
              <w:rPr>
                <w:rFonts w:ascii="Times New Roman" w:hAnsi="Times New Roman"/>
                <w:color w:val="000000"/>
                <w:lang w:val="pl"/>
              </w:rPr>
              <w:t>Dzień 14. – dalsze zwiększanie dawki zgodnie z zapotrzebowaniem*</w:t>
            </w:r>
          </w:p>
          <w:p w14:paraId="68D56C92" w14:textId="77777777" w:rsidR="00132F98" w:rsidRDefault="00132F98">
            <w:pPr>
              <w:jc w:val="center"/>
              <w:rPr>
                <w:rFonts w:ascii="Times New Roman" w:hAnsi="Times New Roman"/>
                <w:color w:val="000000"/>
              </w:rPr>
            </w:pPr>
          </w:p>
        </w:tc>
        <w:tc>
          <w:tcPr>
            <w:tcW w:w="2930" w:type="dxa"/>
            <w:vAlign w:val="center"/>
          </w:tcPr>
          <w:p w14:paraId="68D56C93"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0,35 mg/kg mc. dwa razy na dobę (0,7 mg/kg mc. na dobę)</w:t>
            </w:r>
          </w:p>
        </w:tc>
        <w:tc>
          <w:tcPr>
            <w:tcW w:w="2930" w:type="dxa"/>
            <w:vAlign w:val="center"/>
          </w:tcPr>
          <w:p w14:paraId="68D56C94"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Nie dotyczy</w:t>
            </w:r>
          </w:p>
        </w:tc>
      </w:tr>
      <w:tr w:rsidR="00132F98" w14:paraId="68D56C9D" w14:textId="77777777">
        <w:trPr>
          <w:trHeight w:val="594"/>
        </w:trPr>
        <w:tc>
          <w:tcPr>
            <w:tcW w:w="3790" w:type="dxa"/>
            <w:vAlign w:val="center"/>
          </w:tcPr>
          <w:p w14:paraId="68D56C96" w14:textId="77777777" w:rsidR="00132F98" w:rsidRDefault="00584E7E">
            <w:pPr>
              <w:jc w:val="center"/>
              <w:rPr>
                <w:rFonts w:ascii="Times New Roman" w:hAnsi="Times New Roman"/>
                <w:color w:val="000000"/>
              </w:rPr>
            </w:pPr>
            <w:r>
              <w:rPr>
                <w:rFonts w:ascii="Times New Roman" w:hAnsi="Times New Roman"/>
                <w:color w:val="000000"/>
                <w:lang w:val="pl"/>
              </w:rPr>
              <w:t>Maksymalna zalecana dawka</w:t>
            </w:r>
          </w:p>
        </w:tc>
        <w:tc>
          <w:tcPr>
            <w:tcW w:w="2930" w:type="dxa"/>
            <w:vAlign w:val="center"/>
          </w:tcPr>
          <w:p w14:paraId="68D56C97" w14:textId="77777777" w:rsidR="00132F98" w:rsidRDefault="00584E7E">
            <w:pPr>
              <w:jc w:val="center"/>
              <w:rPr>
                <w:rStyle w:val="normaltextrun1"/>
                <w:rFonts w:ascii="Times New Roman" w:hAnsi="Times New Roman"/>
              </w:rPr>
            </w:pPr>
            <w:r>
              <w:rPr>
                <w:rStyle w:val="normaltextrun1"/>
                <w:rFonts w:ascii="Times New Roman" w:hAnsi="Times New Roman"/>
                <w:lang w:val="pl"/>
              </w:rPr>
              <w:t xml:space="preserve">26 mg </w:t>
            </w:r>
          </w:p>
          <w:p w14:paraId="68D56C98" w14:textId="77777777" w:rsidR="00132F98" w:rsidRDefault="00584E7E">
            <w:pPr>
              <w:jc w:val="center"/>
              <w:rPr>
                <w:rFonts w:ascii="Times New Roman" w:hAnsi="Times New Roman"/>
              </w:rPr>
            </w:pPr>
            <w:r>
              <w:rPr>
                <w:rStyle w:val="normaltextrun1"/>
                <w:rFonts w:ascii="Times New Roman" w:hAnsi="Times New Roman"/>
                <w:lang w:val="pl"/>
              </w:rPr>
              <w:t xml:space="preserve">(13 mg dwa </w:t>
            </w:r>
            <w:r>
              <w:rPr>
                <w:rStyle w:val="normaltextrun1"/>
                <w:rFonts w:ascii="Times New Roman" w:hAnsi="Times New Roman"/>
                <w:lang w:val="pl"/>
              </w:rPr>
              <w:t>razy na dobę, tj. 6,0 ml dwa razy na dobę)</w:t>
            </w:r>
          </w:p>
        </w:tc>
        <w:tc>
          <w:tcPr>
            <w:tcW w:w="2930" w:type="dxa"/>
            <w:vAlign w:val="center"/>
          </w:tcPr>
          <w:p w14:paraId="68D56C99" w14:textId="77777777" w:rsidR="00132F98" w:rsidRDefault="00132F98">
            <w:pPr>
              <w:jc w:val="center"/>
              <w:rPr>
                <w:rStyle w:val="normaltextrun1"/>
                <w:rFonts w:ascii="Times New Roman" w:hAnsi="Times New Roman"/>
              </w:rPr>
            </w:pPr>
          </w:p>
          <w:p w14:paraId="68D56C9A" w14:textId="77777777" w:rsidR="00132F98" w:rsidRDefault="00584E7E">
            <w:pPr>
              <w:jc w:val="center"/>
              <w:rPr>
                <w:rStyle w:val="normaltextrun1"/>
                <w:rFonts w:ascii="Times New Roman" w:hAnsi="Times New Roman"/>
              </w:rPr>
            </w:pPr>
            <w:r>
              <w:rPr>
                <w:rStyle w:val="normaltextrun1"/>
                <w:rFonts w:ascii="Times New Roman" w:hAnsi="Times New Roman"/>
                <w:lang w:val="pl"/>
              </w:rPr>
              <w:t xml:space="preserve">17 mg </w:t>
            </w:r>
          </w:p>
          <w:p w14:paraId="68D56C9B" w14:textId="77777777" w:rsidR="00132F98" w:rsidRDefault="00584E7E">
            <w:pPr>
              <w:jc w:val="center"/>
              <w:rPr>
                <w:rStyle w:val="normaltextrun1"/>
                <w:rFonts w:ascii="Times New Roman" w:hAnsi="Times New Roman"/>
              </w:rPr>
            </w:pPr>
            <w:r>
              <w:rPr>
                <w:rStyle w:val="normaltextrun1"/>
                <w:rFonts w:ascii="Times New Roman" w:hAnsi="Times New Roman"/>
                <w:lang w:val="pl"/>
              </w:rPr>
              <w:t>(8,6 mg dwa razy na dobę, tj. 4,0 ml dwa razy na dobę)</w:t>
            </w:r>
          </w:p>
          <w:p w14:paraId="68D56C9C" w14:textId="77777777" w:rsidR="00132F98" w:rsidRDefault="00132F98">
            <w:pPr>
              <w:jc w:val="center"/>
              <w:rPr>
                <w:rFonts w:ascii="Times New Roman" w:hAnsi="Times New Roman"/>
                <w:b/>
                <w:bCs/>
                <w:color w:val="000000"/>
              </w:rPr>
            </w:pPr>
          </w:p>
        </w:tc>
      </w:tr>
    </w:tbl>
    <w:p w14:paraId="68D56C9E" w14:textId="77777777" w:rsidR="00132F98" w:rsidRDefault="00584E7E">
      <w:r>
        <w:rPr>
          <w:lang w:val="pl"/>
        </w:rPr>
        <w:t>* </w:t>
      </w:r>
      <w:r>
        <w:rPr>
          <w:rStyle w:val="normaltextrun1"/>
          <w:lang w:val="pl"/>
        </w:rPr>
        <w:t xml:space="preserve">U pacjentów tolerujących </w:t>
      </w:r>
      <w:r>
        <w:rPr>
          <w:rStyle w:val="normaltextrun"/>
          <w:lang w:val="pl"/>
        </w:rPr>
        <w:t>fenfluraminę</w:t>
      </w:r>
      <w:r>
        <w:rPr>
          <w:rStyle w:val="normaltextrun1"/>
          <w:lang w:val="pl"/>
        </w:rPr>
        <w:t xml:space="preserve"> i wymagających dalszego ograniczenia napadów. U pacjentów wymagających szybszego dostosowywania dawki można ją zwiększać co 4 dni.</w:t>
      </w:r>
    </w:p>
    <w:p w14:paraId="68D56C9F" w14:textId="77777777" w:rsidR="00132F98" w:rsidRDefault="00132F98">
      <w:pPr>
        <w:autoSpaceDE w:val="0"/>
        <w:autoSpaceDN w:val="0"/>
        <w:adjustRightInd w:val="0"/>
        <w:spacing w:line="240" w:lineRule="auto"/>
        <w:rPr>
          <w:szCs w:val="22"/>
        </w:rPr>
      </w:pPr>
    </w:p>
    <w:p w14:paraId="68D56CA0" w14:textId="77777777" w:rsidR="00132F98" w:rsidRDefault="00584E7E">
      <w:r>
        <w:t>Jeśli wyliczona dawka wynosi 3,0 ml albo mniej, należy używać strzykawki z zielonym nadrukiem 3 ml.</w:t>
      </w:r>
    </w:p>
    <w:p w14:paraId="68D56CA1" w14:textId="77777777" w:rsidR="00132F98" w:rsidRDefault="00584E7E">
      <w:r>
        <w:t>Jeśli wyliczona dawka j</w:t>
      </w:r>
      <w:r>
        <w:t>est większa niż 3,0 ml, należy używać strzykawki z fioletowym nadrukiem 6 ml.</w:t>
      </w:r>
    </w:p>
    <w:p w14:paraId="68D56CA2" w14:textId="77777777" w:rsidR="00132F98" w:rsidRDefault="00584E7E">
      <w:r>
        <w:t>Wyliczoną dawkę należy zaokrąglić do najbliższej wartości na podziałce.</w:t>
      </w:r>
    </w:p>
    <w:p w14:paraId="68D56CA3" w14:textId="77777777" w:rsidR="00132F98" w:rsidRDefault="00132F98">
      <w:pPr>
        <w:spacing w:line="240" w:lineRule="auto"/>
        <w:rPr>
          <w:szCs w:val="22"/>
          <w:u w:val="single"/>
        </w:rPr>
      </w:pPr>
    </w:p>
    <w:p w14:paraId="68D56CA4" w14:textId="77777777" w:rsidR="00132F98" w:rsidRDefault="00584E7E">
      <w:pPr>
        <w:keepNext/>
        <w:keepLines/>
        <w:spacing w:line="240" w:lineRule="auto"/>
        <w:rPr>
          <w:b/>
          <w:bCs/>
          <w:szCs w:val="22"/>
        </w:rPr>
      </w:pPr>
      <w:r>
        <w:rPr>
          <w:b/>
          <w:bCs/>
          <w:szCs w:val="22"/>
          <w:lang w:val="pl"/>
        </w:rPr>
        <w:t xml:space="preserve">Tabela 2. Zalecenia dotyczące dawkowania w przypadku zespołu </w:t>
      </w:r>
      <w:r>
        <w:rPr>
          <w:b/>
          <w:bCs/>
        </w:rPr>
        <w:t>Lennoxa-Gastauta</w:t>
      </w:r>
    </w:p>
    <w:p w14:paraId="68D56CA5" w14:textId="77777777" w:rsidR="00132F98" w:rsidRDefault="00132F98">
      <w:pPr>
        <w:keepNext/>
        <w:keepLines/>
        <w:spacing w:line="240" w:lineRule="auto"/>
        <w:rPr>
          <w:szCs w:val="22"/>
        </w:rPr>
      </w:pPr>
    </w:p>
    <w:tbl>
      <w:tblPr>
        <w:tblStyle w:val="TableGrid"/>
        <w:tblW w:w="5000" w:type="pct"/>
        <w:tblLook w:val="04A0" w:firstRow="1" w:lastRow="0" w:firstColumn="1" w:lastColumn="0" w:noHBand="0" w:noVBand="1"/>
      </w:tblPr>
      <w:tblGrid>
        <w:gridCol w:w="3566"/>
        <w:gridCol w:w="5495"/>
      </w:tblGrid>
      <w:tr w:rsidR="00132F98" w14:paraId="68D56CA8" w14:textId="77777777">
        <w:trPr>
          <w:trHeight w:val="656"/>
        </w:trPr>
        <w:tc>
          <w:tcPr>
            <w:tcW w:w="3566" w:type="dxa"/>
            <w:tcBorders>
              <w:top w:val="single" w:sz="4" w:space="0" w:color="auto"/>
            </w:tcBorders>
            <w:vAlign w:val="center"/>
          </w:tcPr>
          <w:p w14:paraId="68D56CA6" w14:textId="77777777" w:rsidR="00132F98" w:rsidRDefault="00584E7E">
            <w:pPr>
              <w:keepNext/>
              <w:keepLines/>
              <w:jc w:val="center"/>
              <w:rPr>
                <w:rFonts w:ascii="Times New Roman" w:hAnsi="Times New Roman"/>
                <w:color w:val="000000"/>
              </w:rPr>
            </w:pPr>
            <w:r>
              <w:rPr>
                <w:rFonts w:ascii="Times New Roman" w:hAnsi="Times New Roman"/>
                <w:color w:val="000000"/>
                <w:lang w:val="pl"/>
              </w:rPr>
              <w:t>Dawka początkowa – pierwsz</w:t>
            </w:r>
            <w:r>
              <w:rPr>
                <w:rFonts w:ascii="Times New Roman" w:hAnsi="Times New Roman"/>
                <w:color w:val="000000"/>
                <w:lang w:val="pl"/>
              </w:rPr>
              <w:t>y tydzień</w:t>
            </w:r>
          </w:p>
        </w:tc>
        <w:tc>
          <w:tcPr>
            <w:tcW w:w="5495" w:type="dxa"/>
            <w:vAlign w:val="center"/>
          </w:tcPr>
          <w:p w14:paraId="68D56CA7" w14:textId="77777777" w:rsidR="00132F98" w:rsidRDefault="00584E7E">
            <w:pPr>
              <w:keepNext/>
              <w:keepLines/>
              <w:jc w:val="center"/>
              <w:rPr>
                <w:rFonts w:ascii="Times New Roman" w:hAnsi="Times New Roman"/>
                <w:color w:val="000000"/>
              </w:rPr>
            </w:pPr>
            <w:r>
              <w:rPr>
                <w:rFonts w:ascii="Times New Roman" w:eastAsia="Arial Unicode MS" w:hAnsi="Times New Roman"/>
                <w:szCs w:val="24"/>
                <w:lang w:val="pl"/>
              </w:rPr>
              <w:t>0,1 mg/kg mc. przyjmowane dwa razy na dobę (0,2 mg/kg mc. na dobę)</w:t>
            </w:r>
          </w:p>
        </w:tc>
      </w:tr>
      <w:tr w:rsidR="00132F98" w14:paraId="68D56CAC" w14:textId="77777777">
        <w:trPr>
          <w:trHeight w:val="620"/>
        </w:trPr>
        <w:tc>
          <w:tcPr>
            <w:tcW w:w="3566" w:type="dxa"/>
            <w:vAlign w:val="center"/>
          </w:tcPr>
          <w:p w14:paraId="68D56CA9" w14:textId="77777777" w:rsidR="00132F98" w:rsidRDefault="00584E7E">
            <w:pPr>
              <w:jc w:val="center"/>
              <w:rPr>
                <w:rFonts w:ascii="Times New Roman" w:hAnsi="Times New Roman"/>
                <w:color w:val="000000"/>
              </w:rPr>
            </w:pPr>
            <w:r>
              <w:rPr>
                <w:rFonts w:ascii="Times New Roman" w:hAnsi="Times New Roman"/>
                <w:color w:val="000000"/>
                <w:lang w:val="pl"/>
              </w:rPr>
              <w:t>Dzień 7. – drugi tydzień**</w:t>
            </w:r>
          </w:p>
        </w:tc>
        <w:tc>
          <w:tcPr>
            <w:tcW w:w="5495" w:type="dxa"/>
            <w:vAlign w:val="center"/>
          </w:tcPr>
          <w:p w14:paraId="68D56CAA" w14:textId="77777777" w:rsidR="00132F98" w:rsidRDefault="00584E7E">
            <w:pPr>
              <w:jc w:val="center"/>
              <w:rPr>
                <w:rFonts w:ascii="Times New Roman" w:eastAsia="Arial Unicode MS" w:hAnsi="Times New Roman"/>
                <w:szCs w:val="24"/>
                <w:lang w:val="pl"/>
              </w:rPr>
            </w:pPr>
            <w:r>
              <w:rPr>
                <w:rFonts w:ascii="Times New Roman" w:eastAsia="Arial Unicode MS" w:hAnsi="Times New Roman"/>
                <w:szCs w:val="24"/>
                <w:lang w:val="pl"/>
              </w:rPr>
              <w:t xml:space="preserve">0,2 mg/kg mc. dwa razy na dobę </w:t>
            </w:r>
          </w:p>
          <w:p w14:paraId="68D56CAB"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(0,4 mg/kg mc. na dobę)</w:t>
            </w:r>
          </w:p>
        </w:tc>
      </w:tr>
      <w:tr w:rsidR="00132F98" w14:paraId="68D56CB0" w14:textId="77777777">
        <w:trPr>
          <w:trHeight w:val="620"/>
        </w:trPr>
        <w:tc>
          <w:tcPr>
            <w:tcW w:w="3566" w:type="dxa"/>
            <w:vAlign w:val="center"/>
          </w:tcPr>
          <w:p w14:paraId="68D56CAD" w14:textId="77777777" w:rsidR="00132F98" w:rsidRDefault="00584E7E">
            <w:pPr>
              <w:jc w:val="center"/>
              <w:rPr>
                <w:rFonts w:ascii="Times New Roman" w:hAnsi="Times New Roman"/>
                <w:color w:val="000000"/>
              </w:rPr>
            </w:pPr>
            <w:r>
              <w:rPr>
                <w:rFonts w:ascii="Times New Roman" w:hAnsi="Times New Roman"/>
                <w:color w:val="000000"/>
                <w:lang w:val="pl"/>
              </w:rPr>
              <w:t>Dzień 14. – dawka podtrzymująca**</w:t>
            </w:r>
          </w:p>
        </w:tc>
        <w:tc>
          <w:tcPr>
            <w:tcW w:w="5495" w:type="dxa"/>
            <w:vAlign w:val="center"/>
          </w:tcPr>
          <w:p w14:paraId="68D56CAE" w14:textId="77777777" w:rsidR="00132F98" w:rsidRDefault="00584E7E">
            <w:pPr>
              <w:jc w:val="center"/>
              <w:rPr>
                <w:rFonts w:ascii="Times New Roman" w:eastAsia="Arial Unicode MS" w:hAnsi="Times New Roman"/>
                <w:szCs w:val="24"/>
                <w:lang w:val="pl"/>
              </w:rPr>
            </w:pPr>
            <w:r>
              <w:rPr>
                <w:rFonts w:ascii="Times New Roman" w:eastAsia="Arial Unicode MS" w:hAnsi="Times New Roman"/>
                <w:szCs w:val="24"/>
                <w:lang w:val="pl"/>
              </w:rPr>
              <w:t xml:space="preserve">0,35 mg/kg mc. dwa razy na dobę </w:t>
            </w:r>
          </w:p>
          <w:p w14:paraId="68D56CAF" w14:textId="77777777" w:rsidR="00132F98" w:rsidRDefault="00584E7E">
            <w:pPr>
              <w:jc w:val="center"/>
              <w:rPr>
                <w:rFonts w:ascii="Times New Roman" w:eastAsia="Arial Unicode MS" w:hAnsi="Times New Roman"/>
                <w:szCs w:val="24"/>
              </w:rPr>
            </w:pPr>
            <w:r>
              <w:rPr>
                <w:rFonts w:ascii="Times New Roman" w:eastAsia="Arial Unicode MS" w:hAnsi="Times New Roman"/>
                <w:szCs w:val="24"/>
                <w:lang w:val="pl"/>
              </w:rPr>
              <w:t>(0,7 mg/kg mc. na dobę)</w:t>
            </w:r>
          </w:p>
        </w:tc>
      </w:tr>
      <w:tr w:rsidR="00132F98" w14:paraId="68D56CB4" w14:textId="77777777">
        <w:trPr>
          <w:trHeight w:val="710"/>
        </w:trPr>
        <w:tc>
          <w:tcPr>
            <w:tcW w:w="3566" w:type="dxa"/>
            <w:vAlign w:val="center"/>
          </w:tcPr>
          <w:p w14:paraId="68D56CB1" w14:textId="77777777" w:rsidR="00132F98" w:rsidRDefault="00584E7E">
            <w:pPr>
              <w:jc w:val="center"/>
              <w:rPr>
                <w:rFonts w:ascii="Times New Roman" w:hAnsi="Times New Roman"/>
                <w:color w:val="000000"/>
              </w:rPr>
            </w:pPr>
            <w:r>
              <w:rPr>
                <w:rFonts w:ascii="Times New Roman" w:hAnsi="Times New Roman"/>
                <w:color w:val="000000"/>
                <w:lang w:val="pl"/>
              </w:rPr>
              <w:t>Maksymalna zalecana dawka</w:t>
            </w:r>
          </w:p>
        </w:tc>
        <w:tc>
          <w:tcPr>
            <w:tcW w:w="5495" w:type="dxa"/>
            <w:vAlign w:val="center"/>
          </w:tcPr>
          <w:p w14:paraId="68D56CB2" w14:textId="77777777" w:rsidR="00132F98" w:rsidRDefault="00584E7E">
            <w:pPr>
              <w:jc w:val="center"/>
              <w:rPr>
                <w:rStyle w:val="normaltextrun1"/>
                <w:rFonts w:ascii="Times New Roman" w:hAnsi="Times New Roman"/>
              </w:rPr>
            </w:pPr>
            <w:r>
              <w:rPr>
                <w:rStyle w:val="normaltextrun1"/>
                <w:rFonts w:ascii="Times New Roman" w:hAnsi="Times New Roman"/>
                <w:lang w:val="pl"/>
              </w:rPr>
              <w:t xml:space="preserve">26 mg </w:t>
            </w:r>
          </w:p>
          <w:p w14:paraId="68D56CB3" w14:textId="77777777" w:rsidR="00132F98" w:rsidRDefault="00584E7E">
            <w:pPr>
              <w:jc w:val="center"/>
              <w:rPr>
                <w:rFonts w:ascii="Times New Roman" w:hAnsi="Times New Roman"/>
                <w:b/>
                <w:bCs/>
                <w:color w:val="000000"/>
              </w:rPr>
            </w:pPr>
            <w:r>
              <w:rPr>
                <w:rStyle w:val="normaltextrun1"/>
                <w:rFonts w:ascii="Times New Roman" w:hAnsi="Times New Roman"/>
                <w:lang w:val="pl"/>
              </w:rPr>
              <w:t>(13 mg dwa razy na dobę, tj. 6,0 ml dwa razy na dobę)</w:t>
            </w:r>
          </w:p>
        </w:tc>
      </w:tr>
    </w:tbl>
    <w:p w14:paraId="68D56CB5" w14:textId="77777777" w:rsidR="00132F98" w:rsidRDefault="00584E7E">
      <w:r>
        <w:rPr>
          <w:lang w:val="pl"/>
        </w:rPr>
        <w:t xml:space="preserve">** W zależności od tolerancji leku </w:t>
      </w:r>
      <w:r>
        <w:rPr>
          <w:rStyle w:val="normaltextrun1"/>
          <w:lang w:val="pl"/>
        </w:rPr>
        <w:t>dawkę należy zwiększyć do zalecanej dawki podtrzymującej (tj. dawki w Dniu </w:t>
      </w:r>
      <w:r>
        <w:rPr>
          <w:rStyle w:val="normaltextrun1"/>
          <w:lang w:val="pl"/>
        </w:rPr>
        <w:t>14).</w:t>
      </w:r>
    </w:p>
    <w:p w14:paraId="68D56CB6" w14:textId="77777777" w:rsidR="00132F98" w:rsidRDefault="00132F98">
      <w:pPr>
        <w:autoSpaceDE w:val="0"/>
        <w:autoSpaceDN w:val="0"/>
        <w:adjustRightInd w:val="0"/>
        <w:spacing w:line="240" w:lineRule="auto"/>
        <w:rPr>
          <w:szCs w:val="22"/>
        </w:rPr>
      </w:pPr>
    </w:p>
    <w:p w14:paraId="68D56CB7" w14:textId="77777777" w:rsidR="00132F98" w:rsidRDefault="00584E7E">
      <w:r>
        <w:t>Jeśli wyliczona dawka wynosi 3,0 ml albo mniej, należy używać strzykawki z zielonym nadrukiem 3 ml.</w:t>
      </w:r>
    </w:p>
    <w:p w14:paraId="68D56CB8" w14:textId="77777777" w:rsidR="00132F98" w:rsidRDefault="00584E7E">
      <w:r>
        <w:t>Jeśli wyliczona dawka jest większa niż 3,0 ml, należy używać strzykawki z fioletowym nadrukiem 6 ml.</w:t>
      </w:r>
    </w:p>
    <w:p w14:paraId="68D56CB9" w14:textId="77777777" w:rsidR="00132F98" w:rsidRDefault="00584E7E">
      <w:r>
        <w:t xml:space="preserve">Wyliczoną dawkę należy zaokrąglić do </w:t>
      </w:r>
      <w:r>
        <w:t>najbliższej wartości na podziałce.</w:t>
      </w:r>
    </w:p>
    <w:p w14:paraId="68D56CBA" w14:textId="77777777" w:rsidR="00132F98" w:rsidRDefault="00132F98">
      <w:pPr>
        <w:spacing w:line="240" w:lineRule="auto"/>
        <w:rPr>
          <w:szCs w:val="22"/>
          <w:u w:val="single"/>
        </w:rPr>
      </w:pPr>
    </w:p>
    <w:p w14:paraId="68D56CBB" w14:textId="77777777" w:rsidR="00132F98" w:rsidRDefault="00584E7E">
      <w:pPr>
        <w:rPr>
          <w:i/>
        </w:rPr>
      </w:pPr>
      <w:r>
        <w:rPr>
          <w:i/>
        </w:rPr>
        <w:t>Przerwanie leczenia</w:t>
      </w:r>
    </w:p>
    <w:p w14:paraId="68D56CBC" w14:textId="77777777" w:rsidR="00132F98" w:rsidRDefault="00132F98">
      <w:pPr>
        <w:rPr>
          <w:i/>
          <w:highlight w:val="yellow"/>
        </w:rPr>
      </w:pPr>
    </w:p>
    <w:p w14:paraId="68D56CBD" w14:textId="77777777" w:rsidR="00132F98" w:rsidRDefault="00584E7E">
      <w:pPr>
        <w:pStyle w:val="CommentText"/>
        <w:rPr>
          <w:sz w:val="22"/>
          <w:szCs w:val="22"/>
        </w:rPr>
      </w:pPr>
      <w:r>
        <w:rPr>
          <w:sz w:val="22"/>
          <w:szCs w:val="22"/>
        </w:rPr>
        <w:t xml:space="preserve">W przypadku przerwania leczenia dawkę należy zmniejszać stopniowo. Podobnie jak w przypadku wszystkich leków przeciwpadaczkowych, w miarę możliwości należy unikać nagłego odstawienia produktu w celu </w:t>
      </w:r>
      <w:r>
        <w:rPr>
          <w:sz w:val="22"/>
          <w:szCs w:val="22"/>
        </w:rPr>
        <w:t>zmniejszenia ryzyka wzrostu częstości napadów i stanów padaczkowych.</w:t>
      </w:r>
    </w:p>
    <w:p w14:paraId="68D56CBE" w14:textId="77777777" w:rsidR="00132F98" w:rsidRDefault="00584E7E">
      <w:pPr>
        <w:rPr>
          <w:szCs w:val="22"/>
        </w:rPr>
      </w:pPr>
      <w:r>
        <w:rPr>
          <w:szCs w:val="22"/>
        </w:rPr>
        <w:t>Końcowe badanie echokardiograficzne należy przeprowadzić 3-6 miesięcy po przyjęciu ostatniej dawki fenfluraminy.</w:t>
      </w:r>
    </w:p>
    <w:p w14:paraId="68D56CBF" w14:textId="77777777" w:rsidR="00132F98" w:rsidRDefault="00132F98">
      <w:pPr>
        <w:rPr>
          <w:u w:val="single"/>
        </w:rPr>
      </w:pPr>
    </w:p>
    <w:p w14:paraId="68D56CC0" w14:textId="77777777" w:rsidR="00132F98" w:rsidRDefault="00584E7E">
      <w:pPr>
        <w:rPr>
          <w:u w:val="single"/>
        </w:rPr>
      </w:pPr>
      <w:r>
        <w:rPr>
          <w:u w:val="single"/>
        </w:rPr>
        <w:t>Szczególne grupy pacjentów</w:t>
      </w:r>
    </w:p>
    <w:p w14:paraId="68D56CC1" w14:textId="77777777" w:rsidR="00132F98" w:rsidRDefault="00132F98">
      <w:pPr>
        <w:rPr>
          <w:i/>
        </w:rPr>
      </w:pPr>
    </w:p>
    <w:p w14:paraId="68D56CC2" w14:textId="77777777" w:rsidR="00132F98" w:rsidRDefault="00584E7E">
      <w:pPr>
        <w:rPr>
          <w:i/>
        </w:rPr>
      </w:pPr>
      <w:r>
        <w:rPr>
          <w:i/>
        </w:rPr>
        <w:t>Pacjenci z zaburzeniami czynności nerek</w:t>
      </w:r>
    </w:p>
    <w:p w14:paraId="68D56CC3" w14:textId="77777777" w:rsidR="00132F98" w:rsidRDefault="00584E7E">
      <w:r>
        <w:t>Zasad</w:t>
      </w:r>
      <w:r>
        <w:t>niczo nie zaleca się zmiany dawki w przypadku stosowania produktu Fintepla u pacjentów z łagodnymi do ciężkich zaburzeniami czynności nerek, jednak można rozważyć wolniejsze zwiększanie dawki. W przypadku wystąpienia działań niepożądanych konieczne może by</w:t>
      </w:r>
      <w:r>
        <w:t xml:space="preserve">ć zmniejszenie dawki (patrz punkt 5.2). </w:t>
      </w:r>
    </w:p>
    <w:p w14:paraId="68D56CC4" w14:textId="77777777" w:rsidR="00132F98" w:rsidRDefault="00584E7E">
      <w:r>
        <w:t>Produktu Fintepla nie badano u pacjentów ze schyłkową niewydolnością nerek. Nie wiadomo, czy fenfluramina lub jej aktywny metabolit, norfenfluramina, są usuwane podczas dializy.</w:t>
      </w:r>
    </w:p>
    <w:p w14:paraId="68D56CC5" w14:textId="77777777" w:rsidR="00132F98" w:rsidRDefault="00132F98"/>
    <w:p w14:paraId="68D56CC6" w14:textId="77777777" w:rsidR="00132F98" w:rsidRDefault="00584E7E">
      <w:r>
        <w:t>Brak szczegółowych danych klinicznyc</w:t>
      </w:r>
      <w:r>
        <w:t>h dotyczących stosowania produktu Fintepla ze styrypentolem u pacjentów z zaburzeniami czynności nerek. Z tego powodu nie zaleca się stosowania produktu Fintepla u pacjentów z zaburzeniami czynności nerek leczonych styrypentolem.</w:t>
      </w:r>
    </w:p>
    <w:p w14:paraId="68D56CC7" w14:textId="77777777" w:rsidR="00132F98" w:rsidRDefault="00132F98">
      <w:pPr>
        <w:rPr>
          <w:i/>
        </w:rPr>
      </w:pPr>
    </w:p>
    <w:p w14:paraId="68D56CC8" w14:textId="77777777" w:rsidR="00132F98" w:rsidRDefault="00584E7E">
      <w:pPr>
        <w:rPr>
          <w:i/>
        </w:rPr>
      </w:pPr>
      <w:r>
        <w:rPr>
          <w:i/>
        </w:rPr>
        <w:t>Pacjenci z zaburzeniami c</w:t>
      </w:r>
      <w:r>
        <w:rPr>
          <w:i/>
        </w:rPr>
        <w:t>zynności wątroby</w:t>
      </w:r>
    </w:p>
    <w:p w14:paraId="68D56CC9" w14:textId="77777777" w:rsidR="00132F98" w:rsidRDefault="00584E7E">
      <w:r>
        <w:t xml:space="preserve">Na ogół, nie zaleca się dostosowania dawki produktu Fintepla u pacjentów z łagodnymi i umiarkowanymi zaburzeniami czynności wątroby (klasy A i B według klasyfikacji Childa-Pugha), którzy nie otrzymują jednocześnie styrypentolu. </w:t>
      </w:r>
      <w:r>
        <w:br/>
        <w:t>U pacjentó</w:t>
      </w:r>
      <w:r>
        <w:t>w z ciężkimi zaburzeniami czynności wątroby (klasy C według klasyfikacji Childa-Pugha), którzy nie otrzymują jednocześnie styrypentolu, maksymalna dawka produktu Fintepla wynosi 0,2 mg/kg mc., dwa razy na dobę, a maksymalna całkowita dawka dobowa wynosi 17</w:t>
      </w:r>
      <w:r>
        <w:t xml:space="preserve"> mg.</w:t>
      </w:r>
    </w:p>
    <w:p w14:paraId="68D56CCA" w14:textId="77777777" w:rsidR="00132F98" w:rsidRDefault="00132F98"/>
    <w:p w14:paraId="68D56CCB" w14:textId="77777777" w:rsidR="00132F98" w:rsidRDefault="00584E7E">
      <w:r>
        <w:t>Dostępne są ograniczone dane kliniczne dotyczące stosowania produktu Fintepla ze styrypentolem u pacjentów z łagodnymi zaburzeniami czynności wątroby (patrz punkt 5.2).</w:t>
      </w:r>
    </w:p>
    <w:p w14:paraId="68D56CCC" w14:textId="77777777" w:rsidR="00132F98" w:rsidRDefault="00132F98"/>
    <w:p w14:paraId="68D56CCD" w14:textId="77777777" w:rsidR="00132F98" w:rsidRDefault="00584E7E">
      <w:r>
        <w:t>Można rozważyć wolniejsze zwiększanie dawki u pacjentów z zaburzeniami czynności</w:t>
      </w:r>
      <w:r>
        <w:t xml:space="preserve"> wątroby. W przypadku zgłoszenia działań niepożądanych może być konieczne zmniejszenie dawki (patrz punkt 5.2).</w:t>
      </w:r>
    </w:p>
    <w:p w14:paraId="68D56CCE" w14:textId="77777777" w:rsidR="00132F98" w:rsidRDefault="00132F98"/>
    <w:p w14:paraId="68D56CCF" w14:textId="77777777" w:rsidR="00132F98" w:rsidRDefault="00584E7E">
      <w:r>
        <w:t>Brak danych klinicznych dotyczących stosowania produktu Fintepla ze styrypentolem u pacjentów z umiarkowanymi i ciężkimi zaburzeniami czynności</w:t>
      </w:r>
      <w:r>
        <w:t xml:space="preserve"> wątroby. Z tego powodu nie zaleca się stosowania produktu Fintepla u pacjentów z umiarkowanymi i ciężkimi zaburzeniami czynności wątroby leczonych styrypentolem.</w:t>
      </w:r>
    </w:p>
    <w:p w14:paraId="68D56CD0" w14:textId="77777777" w:rsidR="00132F98" w:rsidRDefault="00132F98">
      <w:pPr>
        <w:rPr>
          <w:color w:val="000000"/>
        </w:rPr>
      </w:pPr>
    </w:p>
    <w:p w14:paraId="68D56CD1" w14:textId="77777777" w:rsidR="00132F98" w:rsidRDefault="00584E7E">
      <w:pPr>
        <w:rPr>
          <w:i/>
          <w:color w:val="000000"/>
        </w:rPr>
      </w:pPr>
      <w:r>
        <w:rPr>
          <w:i/>
          <w:color w:val="000000"/>
        </w:rPr>
        <w:t>Osoby w podeszłym wieku</w:t>
      </w:r>
    </w:p>
    <w:p w14:paraId="68D56CD2" w14:textId="77777777" w:rsidR="00132F98" w:rsidRDefault="00584E7E">
      <w:pPr>
        <w:rPr>
          <w:color w:val="000000"/>
        </w:rPr>
      </w:pPr>
      <w:r>
        <w:rPr>
          <w:color w:val="000000"/>
        </w:rPr>
        <w:t xml:space="preserve">Nie są dostępne dane na temat stosowania produktu Fintepla u osób w </w:t>
      </w:r>
      <w:r>
        <w:rPr>
          <w:color w:val="000000"/>
        </w:rPr>
        <w:t>podeszłym wieku.</w:t>
      </w:r>
    </w:p>
    <w:p w14:paraId="68D56CD3" w14:textId="77777777" w:rsidR="00132F98" w:rsidRDefault="00132F98">
      <w:pPr>
        <w:rPr>
          <w:color w:val="000000"/>
        </w:rPr>
      </w:pPr>
    </w:p>
    <w:p w14:paraId="68D56CD4" w14:textId="77777777" w:rsidR="00132F98" w:rsidRDefault="00584E7E">
      <w:pPr>
        <w:keepNext/>
        <w:keepLines/>
        <w:rPr>
          <w:i/>
          <w:iCs/>
          <w:color w:val="000000"/>
        </w:rPr>
      </w:pPr>
      <w:r>
        <w:rPr>
          <w:i/>
          <w:iCs/>
          <w:color w:val="000000"/>
        </w:rPr>
        <w:t>Dzieci i młodzież</w:t>
      </w:r>
    </w:p>
    <w:p w14:paraId="68D56CD5" w14:textId="77777777" w:rsidR="00132F98" w:rsidRDefault="00584E7E">
      <w:pPr>
        <w:keepNext/>
        <w:keepLines/>
        <w:rPr>
          <w:color w:val="000000"/>
        </w:rPr>
      </w:pPr>
      <w:r>
        <w:rPr>
          <w:color w:val="000000"/>
        </w:rPr>
        <w:t>Nie określono dotychczas bezpieczeństwa stosowania ani skuteczności produktu leczniczego Fintepla u dzieci w wieku poniżej 2 lat. Dane nie są dostępne.</w:t>
      </w:r>
    </w:p>
    <w:p w14:paraId="68D56CD6" w14:textId="77777777" w:rsidR="00132F98" w:rsidRDefault="00132F98">
      <w:pPr>
        <w:rPr>
          <w:u w:val="single"/>
        </w:rPr>
      </w:pPr>
    </w:p>
    <w:p w14:paraId="68D56CD7" w14:textId="77777777" w:rsidR="00132F98" w:rsidRDefault="00584E7E">
      <w:pPr>
        <w:rPr>
          <w:u w:val="single"/>
        </w:rPr>
      </w:pPr>
      <w:r>
        <w:rPr>
          <w:u w:val="single"/>
        </w:rPr>
        <w:t>Sposób podawania</w:t>
      </w:r>
    </w:p>
    <w:p w14:paraId="68D56CD8" w14:textId="77777777" w:rsidR="00132F98" w:rsidRDefault="00132F98">
      <w:pPr>
        <w:rPr>
          <w:u w:val="single"/>
        </w:rPr>
      </w:pPr>
    </w:p>
    <w:p w14:paraId="68D56CD9" w14:textId="77777777" w:rsidR="00132F98" w:rsidRDefault="00584E7E">
      <w:pPr>
        <w:textAlignment w:val="baseline"/>
      </w:pPr>
      <w:r>
        <w:t>Produkt Fintepla jest podawany doustnie.</w:t>
      </w:r>
    </w:p>
    <w:p w14:paraId="68D56CDA" w14:textId="77777777" w:rsidR="00132F98" w:rsidRDefault="00584E7E">
      <w:pPr>
        <w:shd w:val="clear" w:color="auto" w:fill="FFFFFF"/>
        <w:textAlignment w:val="baseline"/>
      </w:pPr>
      <w:r>
        <w:t>Produkt Fintepla można przyjmować z posiłkiem lub niezależnie od posiłków.</w:t>
      </w:r>
    </w:p>
    <w:p w14:paraId="68D56CDB" w14:textId="77777777" w:rsidR="00132F98" w:rsidRDefault="00584E7E">
      <w:r>
        <w:t>Produkt Fintepla jest zgodny z dostępnymi na rynku zgłębnikami żołądkowymi i nosowo-żołądkowymi (patrz punkt 6.6).</w:t>
      </w:r>
    </w:p>
    <w:p w14:paraId="68D56CDC" w14:textId="77777777" w:rsidR="00132F98" w:rsidRDefault="00584E7E">
      <w:pPr>
        <w:spacing w:line="240" w:lineRule="auto"/>
      </w:pPr>
      <w:r>
        <w:lastRenderedPageBreak/>
        <w:t>Produkt Fintepla zawiera bardzo ograniczoną ilość przyswajalnych w</w:t>
      </w:r>
      <w:r>
        <w:t>ęglowodanów i jest zgodny z dietą ketogeniczną.</w:t>
      </w:r>
    </w:p>
    <w:p w14:paraId="68D56CDD" w14:textId="77777777" w:rsidR="00132F98" w:rsidRDefault="00132F98">
      <w:pPr>
        <w:spacing w:line="240" w:lineRule="auto"/>
        <w:ind w:left="567" w:hanging="567"/>
        <w:rPr>
          <w:b/>
          <w:noProof/>
          <w:szCs w:val="22"/>
        </w:rPr>
      </w:pPr>
    </w:p>
    <w:p w14:paraId="68D56CDE" w14:textId="77777777" w:rsidR="00132F98" w:rsidRDefault="00584E7E">
      <w:pPr>
        <w:spacing w:line="240" w:lineRule="auto"/>
        <w:ind w:left="567" w:hanging="567"/>
        <w:rPr>
          <w:noProof/>
          <w:szCs w:val="22"/>
        </w:rPr>
      </w:pPr>
      <w:r>
        <w:rPr>
          <w:b/>
          <w:szCs w:val="22"/>
        </w:rPr>
        <w:t>4.3</w:t>
      </w:r>
      <w:r>
        <w:rPr>
          <w:b/>
          <w:szCs w:val="22"/>
        </w:rPr>
        <w:tab/>
        <w:t>Przeciwwskazania</w:t>
      </w:r>
    </w:p>
    <w:p w14:paraId="68D56CDF" w14:textId="77777777" w:rsidR="00132F98" w:rsidRDefault="00132F98">
      <w:pPr>
        <w:spacing w:line="240" w:lineRule="auto"/>
        <w:rPr>
          <w:noProof/>
          <w:szCs w:val="22"/>
        </w:rPr>
      </w:pPr>
    </w:p>
    <w:p w14:paraId="68D56CE0" w14:textId="77777777" w:rsidR="00132F98" w:rsidRDefault="00584E7E">
      <w:pPr>
        <w:spacing w:line="240" w:lineRule="auto"/>
      </w:pPr>
      <w:r>
        <w:t>Nadwrażliwość na substancję czynną lub na którąkolwiek substancję pomocniczą wymienioną w punkcie 6.1.</w:t>
      </w:r>
    </w:p>
    <w:p w14:paraId="68D56CE1" w14:textId="77777777" w:rsidR="00132F98" w:rsidRDefault="00584E7E">
      <w:pPr>
        <w:spacing w:line="240" w:lineRule="auto"/>
      </w:pPr>
      <w:r>
        <w:t>Choroba zastawki aortalnej lub mitralnej serca.</w:t>
      </w:r>
    </w:p>
    <w:p w14:paraId="68D56CE2" w14:textId="77777777" w:rsidR="00132F98" w:rsidRDefault="00584E7E">
      <w:pPr>
        <w:spacing w:line="240" w:lineRule="auto"/>
      </w:pPr>
      <w:r>
        <w:t xml:space="preserve">Tętnicze nadciśnienie </w:t>
      </w:r>
      <w:r>
        <w:t>płucne.</w:t>
      </w:r>
    </w:p>
    <w:p w14:paraId="68D56CE3" w14:textId="77777777" w:rsidR="00132F98" w:rsidRDefault="00584E7E">
      <w:pPr>
        <w:spacing w:line="240" w:lineRule="auto"/>
      </w:pPr>
      <w:r>
        <w:t>Stosowanie w ciągu 14 dni od podania inhibitorów monoaminooksydazy ze względu na zwiększone ryzyko zespołu serotoninowego.</w:t>
      </w:r>
    </w:p>
    <w:p w14:paraId="68D56CE4" w14:textId="77777777" w:rsidR="00132F98" w:rsidRDefault="00132F98">
      <w:pPr>
        <w:spacing w:line="240" w:lineRule="auto"/>
        <w:rPr>
          <w:noProof/>
          <w:szCs w:val="22"/>
        </w:rPr>
      </w:pPr>
    </w:p>
    <w:p w14:paraId="68D56CE5" w14:textId="77777777" w:rsidR="00132F98" w:rsidRDefault="00584E7E">
      <w:pPr>
        <w:spacing w:line="240" w:lineRule="auto"/>
        <w:ind w:left="567" w:hanging="567"/>
        <w:rPr>
          <w:b/>
        </w:rPr>
      </w:pPr>
      <w:r>
        <w:rPr>
          <w:b/>
        </w:rPr>
        <w:t>4.4</w:t>
      </w:r>
      <w:r>
        <w:rPr>
          <w:b/>
          <w:bCs/>
        </w:rPr>
        <w:t xml:space="preserve"> </w:t>
      </w:r>
      <w:r>
        <w:rPr>
          <w:b/>
          <w:szCs w:val="22"/>
        </w:rPr>
        <w:tab/>
      </w:r>
      <w:r>
        <w:rPr>
          <w:b/>
        </w:rPr>
        <w:t>Specjalne ostrzeżenia i środki ostrożności dotyczące stosowania</w:t>
      </w:r>
    </w:p>
    <w:p w14:paraId="68D56CE6" w14:textId="77777777" w:rsidR="00132F98" w:rsidRDefault="00132F98">
      <w:pPr>
        <w:spacing w:line="240" w:lineRule="auto"/>
        <w:ind w:left="567" w:hanging="567"/>
        <w:rPr>
          <w:bCs/>
          <w:noProof/>
          <w:szCs w:val="22"/>
        </w:rPr>
      </w:pPr>
    </w:p>
    <w:p w14:paraId="68D56CE7" w14:textId="77777777" w:rsidR="00132F98" w:rsidRDefault="00584E7E">
      <w:pPr>
        <w:textAlignment w:val="baseline"/>
      </w:pPr>
      <w:r>
        <w:rPr>
          <w:u w:val="single"/>
        </w:rPr>
        <w:t>Choroba zastawki aortalnej lub mitralnej serca i tętni</w:t>
      </w:r>
      <w:r>
        <w:rPr>
          <w:u w:val="single"/>
        </w:rPr>
        <w:t>cze nadciśnienie płucne</w:t>
      </w:r>
    </w:p>
    <w:p w14:paraId="68D56CE8" w14:textId="77777777" w:rsidR="00132F98" w:rsidRDefault="00132F98">
      <w:pPr>
        <w:textAlignment w:val="baseline"/>
      </w:pPr>
    </w:p>
    <w:p w14:paraId="68D56CE9" w14:textId="77777777" w:rsidR="00132F98" w:rsidRDefault="00584E7E">
      <w:r>
        <w:t>Ze względu na zgłoszone przypadki choroby zastawkowej serca, która mogła być spowodowana przez fenfluraminę stosowaną w większych dawkach w leczeniu otyłości u osób dorosłych, należy wykonywać badania kontrolne serca z wykorzystani</w:t>
      </w:r>
      <w:r>
        <w:t>em echokardiografii. Pacjenci z zastawkową chorobą serca lub tętniczym nadciśnieniem płucnym zostali wyłączeni z udziału w kontrolowanych badaniach klinicznych fenfluraminy w leczeniu zespołu Dravet i zespołu Lennoxa-Gastauta. Podczas tych badań nie obserw</w:t>
      </w:r>
      <w:r>
        <w:t>owano przypadków choroby zastawkowej serca.</w:t>
      </w:r>
    </w:p>
    <w:p w14:paraId="68D56CEA" w14:textId="77777777" w:rsidR="00132F98" w:rsidRDefault="00132F98"/>
    <w:p w14:paraId="68D56CEB" w14:textId="77777777" w:rsidR="00132F98" w:rsidRDefault="00584E7E">
      <w:r>
        <w:t>Przed rozpoczęciem leczenia należy wykonać u pacjentów badanie echokardiograficzne w celu oceny stanu wyjściowego (patrz punkt 4.3) i wykluczenia choroby zastawkowej serca lub nadciśnienia płucnego.</w:t>
      </w:r>
    </w:p>
    <w:p w14:paraId="68D56CEC" w14:textId="77777777" w:rsidR="00132F98" w:rsidRDefault="00132F98"/>
    <w:p w14:paraId="68D56CED" w14:textId="77777777" w:rsidR="00132F98" w:rsidRDefault="00584E7E">
      <w:r>
        <w:t>Kontrolne b</w:t>
      </w:r>
      <w:r>
        <w:t xml:space="preserve">adania echokardiograficzne należy wykonywać co 6 miesięcy przez pierwsze 2 lata, a następnie co rok. W przypadku stwierdzenia patologicznych zmian zastawki należy rozważyć wcześniejsze wykonanie badania kontrolnego, aby sprawdzić, czy nieprawidłowości się </w:t>
      </w:r>
      <w:r>
        <w:t>utrzymują. Jeśli w badaniu echokardiograficznym zostaną stwierdzone zmiany patologiczne, zaleca się ocenę we współpracy z lekarzem przepisującym, opiekunem i kardiologiem stosunku korzyści do ryzyka w przypadku dalszego leczenia fenfluraminą.</w:t>
      </w:r>
    </w:p>
    <w:p w14:paraId="68D56CEE" w14:textId="77777777" w:rsidR="00132F98" w:rsidRDefault="00132F98"/>
    <w:p w14:paraId="68D56CEF" w14:textId="77777777" w:rsidR="00132F98" w:rsidRDefault="00584E7E">
      <w:pPr>
        <w:pStyle w:val="CommentText"/>
        <w:rPr>
          <w:sz w:val="22"/>
          <w:szCs w:val="22"/>
        </w:rPr>
      </w:pPr>
      <w:r>
        <w:rPr>
          <w:sz w:val="22"/>
          <w:szCs w:val="22"/>
        </w:rPr>
        <w:t xml:space="preserve">Po </w:t>
      </w:r>
      <w:r>
        <w:rPr>
          <w:sz w:val="22"/>
          <w:szCs w:val="22"/>
        </w:rPr>
        <w:t>przerwaniu leczenia z dowolnego powodu końcowe badanie echokardiograficzne należy przeprowadzić 3-6 miesięcy po przyjęciu ostatniej dawki fenfluraminy.</w:t>
      </w:r>
    </w:p>
    <w:p w14:paraId="68D56CF0" w14:textId="77777777" w:rsidR="00132F98" w:rsidRDefault="00132F98"/>
    <w:p w14:paraId="68D56CF1" w14:textId="77777777" w:rsidR="00132F98" w:rsidRDefault="00584E7E">
      <w:r>
        <w:t>Jeśli leczenie zostanie przerwane z powodu choroby zastawki aortalnej lub mitralnej serca, należy zapew</w:t>
      </w:r>
      <w:r>
        <w:t>nić odpowiednie monitorowanie i obserwację kontrolną zgodnie z miejscowymi wytycznymi w zakresie leczenia choroby zastawki aortalnej lub mitralnej serca.</w:t>
      </w:r>
    </w:p>
    <w:p w14:paraId="68D56CF2" w14:textId="77777777" w:rsidR="00132F98" w:rsidRDefault="00132F98"/>
    <w:p w14:paraId="68D56CF3" w14:textId="77777777" w:rsidR="00132F98" w:rsidRDefault="00584E7E">
      <w:r>
        <w:t>Zgłaszano wcześniej, że stosowanie fenfluraminy w większych dawkach w leczeniu otyłości u osób dorosł</w:t>
      </w:r>
      <w:r>
        <w:t>ych wiązało się z występowaniem tętniczego nadciśnienia płucnego. Nie było ono obserwowane w programie klinicznym, ale ze względu na niską zapadalność na tę chorobę doświadczenia z fenfluraminą stosowaną w badaniach klinicznych są niewystarczające do okreś</w:t>
      </w:r>
      <w:r>
        <w:t>lenia, czy zwiększa ona ryzyko występowania tętniczego nadciśnienia płucnego u pacjentów z zespołem Dravet i zespołem Lennoxa-Gastauta.</w:t>
      </w:r>
    </w:p>
    <w:p w14:paraId="68D56CF4" w14:textId="77777777" w:rsidR="00132F98" w:rsidRDefault="00132F98"/>
    <w:p w14:paraId="68D56CF5" w14:textId="77777777" w:rsidR="00132F98" w:rsidRDefault="00584E7E">
      <w:r>
        <w:t>Jeśli w badaniu echokardiograficznym pojawiają się przesłanki wskazujące na tętnicze nadciśnienie płucne, należy możliw</w:t>
      </w:r>
      <w:r>
        <w:t>ie jak najszybciej — w okresie do 3 miesięcy — powtórzyć badanie, aby potwierdzić wyniki. Jeśli potwierdzono wynik badania echokardiograficznego sugerujący zwiększone prawdopodobieństwo wystąpienia tętniczego nadciśnienia płucnego, definiowane jako „prawdo</w:t>
      </w:r>
      <w:r>
        <w:t>podobieństwo pośrednie” w wytycznych Europejskiego Towarzystwa Kardiologicznego (ESC) i Europejskiego Towarzystwa Oddechowego (ERS) z 2015 r., należy ocenić we współpracy z lekarzem przepisującym, opiekunem i kardiologiem stosunek korzyści do ryzyka w przy</w:t>
      </w:r>
      <w:r>
        <w:t xml:space="preserve">padku dalszego leczenia produktem Fintepla. Jeśli potwierdzony wynik badania echokardiograficznego </w:t>
      </w:r>
      <w:r>
        <w:lastRenderedPageBreak/>
        <w:t>sugeruje wysokie prawdopodobieństwo wystąpienia tętniczego nadciśnienia płucnego, zgodnie z wytycznymi ESC i ERS z 2015 r., zaleca się przerwanie leczenia fe</w:t>
      </w:r>
      <w:r>
        <w:t>nfluraminą.</w:t>
      </w:r>
    </w:p>
    <w:p w14:paraId="68D56CF6" w14:textId="77777777" w:rsidR="00132F98" w:rsidRDefault="00132F98"/>
    <w:p w14:paraId="68D56CF7" w14:textId="77777777" w:rsidR="00132F98" w:rsidRDefault="00584E7E">
      <w:pPr>
        <w:pStyle w:val="Default"/>
        <w:keepNext/>
        <w:keepLines/>
        <w:rPr>
          <w:sz w:val="22"/>
          <w:szCs w:val="22"/>
          <w:u w:val="single"/>
        </w:rPr>
      </w:pPr>
      <w:r>
        <w:rPr>
          <w:sz w:val="22"/>
          <w:szCs w:val="22"/>
          <w:u w:val="single"/>
        </w:rPr>
        <w:t>Zmniejszone łaknienie i zmniejszenie masy ciała</w:t>
      </w:r>
    </w:p>
    <w:p w14:paraId="68D56CF8" w14:textId="77777777" w:rsidR="00132F98" w:rsidRDefault="00132F98">
      <w:pPr>
        <w:pStyle w:val="Default"/>
        <w:keepNext/>
        <w:keepLines/>
        <w:rPr>
          <w:sz w:val="22"/>
          <w:szCs w:val="22"/>
          <w:u w:val="single"/>
        </w:rPr>
      </w:pPr>
    </w:p>
    <w:p w14:paraId="68D56CF9" w14:textId="77777777" w:rsidR="00132F98" w:rsidRDefault="00584E7E">
      <w:pPr>
        <w:keepNext/>
        <w:keepLines/>
      </w:pPr>
      <w:r>
        <w:t xml:space="preserve">Fenfluramina może powodować zmniejszenie łaknienia i zmniejszenie masy ciała (patrz punkt 4.8). W przypadku skojarzenia fenfluraminy z innymi lekami przeciwpadaczkowymi, np. styrypentolem, może </w:t>
      </w:r>
      <w:r>
        <w:t>wystąpić addytywny wpływ na zmniejszenie łaknienia.</w:t>
      </w:r>
      <w:r>
        <w:rPr>
          <w:i/>
        </w:rPr>
        <w:t xml:space="preserve"> </w:t>
      </w:r>
      <w:r>
        <w:rPr>
          <w:iCs/>
        </w:rPr>
        <w:t xml:space="preserve">Wydaje się, że </w:t>
      </w:r>
      <w:r>
        <w:t>zmniejszenie masy ciała jest zależne od dawki. U większości pacjentów z czasem dochodziło do zwiększenia masy ciała w trakcie dalszego leczenia. Należy kontrolować masę ciała pacjenta. U pa</w:t>
      </w:r>
      <w:r>
        <w:t>cjentów z jadłowstrętem psychicznym bądź żarłocznością psychiczną  w wywiadzie należy ocenić stosunek korzyści do ryzyka przed rozpoczęciem leczenia fenfluraminą.</w:t>
      </w:r>
    </w:p>
    <w:p w14:paraId="68D56CFA" w14:textId="77777777" w:rsidR="00132F98" w:rsidRDefault="00132F98">
      <w:pPr>
        <w:rPr>
          <w:u w:val="single"/>
        </w:rPr>
      </w:pPr>
    </w:p>
    <w:p w14:paraId="68D56CFB" w14:textId="77777777" w:rsidR="00132F98" w:rsidRDefault="00584E7E">
      <w:pPr>
        <w:rPr>
          <w:u w:val="single"/>
        </w:rPr>
      </w:pPr>
      <w:r>
        <w:rPr>
          <w:u w:val="single"/>
        </w:rPr>
        <w:t>Program kontrolowanego dostępu do produktu Fintepla</w:t>
      </w:r>
    </w:p>
    <w:p w14:paraId="68D56CFC" w14:textId="77777777" w:rsidR="00132F98" w:rsidRDefault="00132F98"/>
    <w:p w14:paraId="68D56CFD" w14:textId="77777777" w:rsidR="00132F98" w:rsidRDefault="00584E7E">
      <w:r>
        <w:t>Program kontrolowanego dostępu powstał,</w:t>
      </w:r>
      <w:r>
        <w:t xml:space="preserve"> aby: 1) zapobiegać stosowaniu produktu poza wskazaniami rejestracyjnymi do zmniejszania masy ciała u pacjentów otyłych oraz 2) zapewnić, że przepisujący lek lekarze zostali poinformowani o konieczności okresowej kontroli czynności serca u pacjentów przyjm</w:t>
      </w:r>
      <w:r>
        <w:t>ujących produkt Fintepla.</w:t>
      </w:r>
    </w:p>
    <w:p w14:paraId="68D56CFE" w14:textId="77777777" w:rsidR="00132F98" w:rsidRDefault="00132F98">
      <w:pPr>
        <w:rPr>
          <w:u w:val="single"/>
        </w:rPr>
      </w:pPr>
    </w:p>
    <w:p w14:paraId="68D56CFF" w14:textId="77777777" w:rsidR="00132F98" w:rsidRDefault="00584E7E">
      <w:pPr>
        <w:rPr>
          <w:u w:val="single"/>
        </w:rPr>
      </w:pPr>
      <w:r>
        <w:rPr>
          <w:u w:val="single"/>
        </w:rPr>
        <w:t>Senność</w:t>
      </w:r>
    </w:p>
    <w:p w14:paraId="68D56D00" w14:textId="77777777" w:rsidR="00132F98" w:rsidRDefault="00132F98">
      <w:pPr>
        <w:rPr>
          <w:i/>
        </w:rPr>
      </w:pPr>
    </w:p>
    <w:p w14:paraId="68D56D01" w14:textId="77777777" w:rsidR="00132F98" w:rsidRDefault="00584E7E">
      <w:pPr>
        <w:pStyle w:val="Default"/>
        <w:rPr>
          <w:sz w:val="22"/>
          <w:szCs w:val="22"/>
        </w:rPr>
      </w:pPr>
      <w:r>
        <w:rPr>
          <w:sz w:val="22"/>
          <w:szCs w:val="22"/>
        </w:rPr>
        <w:t>Fenfluramina może powodować senność.</w:t>
      </w:r>
    </w:p>
    <w:p w14:paraId="68D56D02" w14:textId="77777777" w:rsidR="00132F98" w:rsidRDefault="00132F98">
      <w:pPr>
        <w:pStyle w:val="Default"/>
        <w:rPr>
          <w:sz w:val="22"/>
          <w:szCs w:val="22"/>
        </w:rPr>
      </w:pPr>
    </w:p>
    <w:p w14:paraId="68D56D03" w14:textId="77777777" w:rsidR="00132F98" w:rsidRDefault="00584E7E">
      <w:pPr>
        <w:pStyle w:val="Default"/>
        <w:rPr>
          <w:sz w:val="22"/>
          <w:szCs w:val="22"/>
        </w:rPr>
      </w:pPr>
      <w:r>
        <w:rPr>
          <w:sz w:val="22"/>
          <w:szCs w:val="22"/>
        </w:rPr>
        <w:t>Inne substancje działające hamująco na ośrodkowy układ nerwowy, w tym alkohol, mogą nasilać wywoływanie senności przez fenfluraminę (patrz punkty 4.5 i 4.7).</w:t>
      </w:r>
    </w:p>
    <w:p w14:paraId="68D56D04" w14:textId="77777777" w:rsidR="00132F98" w:rsidRDefault="00132F98">
      <w:pPr>
        <w:rPr>
          <w:u w:val="single"/>
        </w:rPr>
      </w:pPr>
    </w:p>
    <w:p w14:paraId="68D56D05" w14:textId="77777777" w:rsidR="00132F98" w:rsidRDefault="00584E7E">
      <w:pPr>
        <w:keepNext/>
        <w:rPr>
          <w:u w:val="single"/>
        </w:rPr>
      </w:pPr>
      <w:r>
        <w:rPr>
          <w:u w:val="single"/>
        </w:rPr>
        <w:t>Zachowania i myśli samo</w:t>
      </w:r>
      <w:r>
        <w:rPr>
          <w:u w:val="single"/>
        </w:rPr>
        <w:t>bójcze</w:t>
      </w:r>
    </w:p>
    <w:p w14:paraId="68D56D06" w14:textId="77777777" w:rsidR="00132F98" w:rsidRDefault="00132F98">
      <w:pPr>
        <w:keepNext/>
        <w:rPr>
          <w:u w:val="single"/>
        </w:rPr>
      </w:pPr>
    </w:p>
    <w:p w14:paraId="68D56D07" w14:textId="77777777" w:rsidR="00132F98" w:rsidRDefault="00584E7E">
      <w:pPr>
        <w:spacing w:before="60" w:after="60" w:line="240" w:lineRule="atLeast"/>
      </w:pPr>
      <w:r>
        <w:t>Pacjenci, u których w różnych wskazaniach stosowano leki przeciwpadaczkowe, zgłaszali myśli i zachowania samobójcze. Metaanaliza randomizowanych, kontrolowanych placebo badań klinicznych leków przeciwpadaczkowych, które nie obejmowały fenfluraminy,</w:t>
      </w:r>
      <w:r>
        <w:t xml:space="preserve"> wykazała nieznacznie zwiększone ryzyko wystąpienia zachowań i myśli samobójczych. Nie jest znany mechanizm jego powstawania, ale dostępne dane nie wykluczają możliwości zwiększonego ryzyka także podczas stosowania fenfluraminy. Pacjentów oraz ich opiekunó</w:t>
      </w:r>
      <w:r>
        <w:t>w należy poinformować, że w razie wystąpienia jakichkolwiek oznak myśli lub zachowań samobójczych powinni niezwłocznie zwrócić się po pomoc medyczną.</w:t>
      </w:r>
    </w:p>
    <w:p w14:paraId="68D56D08" w14:textId="77777777" w:rsidR="00132F98" w:rsidRDefault="00132F98"/>
    <w:p w14:paraId="68D56D09" w14:textId="77777777" w:rsidR="00132F98" w:rsidRDefault="00584E7E">
      <w:pPr>
        <w:rPr>
          <w:u w:val="single"/>
        </w:rPr>
      </w:pPr>
      <w:r>
        <w:rPr>
          <w:u w:val="single"/>
        </w:rPr>
        <w:t>Zespół serotoninowy</w:t>
      </w:r>
    </w:p>
    <w:p w14:paraId="68D56D0A" w14:textId="77777777" w:rsidR="00132F98" w:rsidRDefault="00132F98">
      <w:pPr>
        <w:pStyle w:val="Default"/>
        <w:rPr>
          <w:sz w:val="22"/>
          <w:szCs w:val="22"/>
        </w:rPr>
      </w:pPr>
    </w:p>
    <w:p w14:paraId="68D56D0B" w14:textId="77777777" w:rsidR="00132F98" w:rsidRDefault="00584E7E">
      <w:pPr>
        <w:spacing w:before="60" w:after="60" w:line="240" w:lineRule="atLeast"/>
        <w:rPr>
          <w:szCs w:val="22"/>
        </w:rPr>
      </w:pPr>
      <w:r>
        <w:t xml:space="preserve">Podobnie jak w przypadku innych leków serotoninergicznych podczas leczenia </w:t>
      </w:r>
      <w:r>
        <w:t>fenfluraminą może wystąpić zespół serotoninowy (potencjalnie zagrażający życiu), zwłaszcza podczas jednoczesnego stosowania innych leków serotoninergicznych (w tym z grupy SSRI, SNRI, trójpierścieniowych leków przeciwdepresyjnych lub tryptanów), leków wpły</w:t>
      </w:r>
      <w:r>
        <w:t>wających na metabolizm serotoniny (takich jak IMAO) lub leków przeciwpsychotycznych, które mogą wpływać na układy neuroprzekaźników serotoninergicznych (patrz punkty 4.3 i 4.5).</w:t>
      </w:r>
    </w:p>
    <w:p w14:paraId="68D56D0C" w14:textId="77777777" w:rsidR="00132F98" w:rsidRDefault="00132F98">
      <w:pPr>
        <w:pStyle w:val="Default"/>
        <w:rPr>
          <w:sz w:val="22"/>
          <w:szCs w:val="22"/>
        </w:rPr>
      </w:pPr>
    </w:p>
    <w:p w14:paraId="68D56D0D" w14:textId="77777777" w:rsidR="00132F98" w:rsidRDefault="00584E7E">
      <w:pPr>
        <w:spacing w:before="60" w:after="60" w:line="240" w:lineRule="atLeast"/>
        <w:rPr>
          <w:szCs w:val="22"/>
        </w:rPr>
      </w:pPr>
      <w:r>
        <w:t xml:space="preserve">Objawy zespołu serotoninowego mogą obejmować: zmiany stanu psychicznego (np. </w:t>
      </w:r>
      <w:r>
        <w:t>pobudzenie, omamy, śpiączkę), niestabilność układu autonomicznego (np. tachykardię, niestabilne ciśnienie krwi, hipertermię), zaburzenia nerwowo-mięśniowe (np. hiperrefleksję, niezborność) lub objawy żołądkowo-jelitowe (np. nudności, wymioty, biegunkę).</w:t>
      </w:r>
    </w:p>
    <w:p w14:paraId="68D56D0E" w14:textId="77777777" w:rsidR="00132F98" w:rsidRDefault="00132F98">
      <w:pPr>
        <w:pStyle w:val="Default"/>
        <w:rPr>
          <w:sz w:val="22"/>
          <w:szCs w:val="22"/>
        </w:rPr>
      </w:pPr>
    </w:p>
    <w:p w14:paraId="68D56D0F" w14:textId="77777777" w:rsidR="00132F98" w:rsidRDefault="00584E7E">
      <w:pPr>
        <w:spacing w:before="60" w:after="60" w:line="240" w:lineRule="atLeast"/>
        <w:rPr>
          <w:szCs w:val="22"/>
        </w:rPr>
      </w:pPr>
      <w:r>
        <w:t>J</w:t>
      </w:r>
      <w:r>
        <w:t>eśli jednoczesne przyjmowanie fenfluraminy i innych leków serotoninergicznych, które mogą wpływać na układy serotoninergiczne, jest klinicznie uzasadnione, zaleca się uważną obserwację pacjenta, zwłaszcza w początkowej fazie leczenia i w czasie zwiększania</w:t>
      </w:r>
      <w:r>
        <w:t xml:space="preserve"> dawki.</w:t>
      </w:r>
    </w:p>
    <w:p w14:paraId="68D56D10" w14:textId="77777777" w:rsidR="00132F98" w:rsidRDefault="00132F98">
      <w:pPr>
        <w:ind w:left="720"/>
      </w:pPr>
    </w:p>
    <w:p w14:paraId="68D56D11" w14:textId="77777777" w:rsidR="00132F98" w:rsidRDefault="00584E7E">
      <w:pPr>
        <w:keepNext/>
        <w:keepLines/>
        <w:spacing w:line="259" w:lineRule="auto"/>
        <w:rPr>
          <w:u w:val="single"/>
        </w:rPr>
      </w:pPr>
      <w:r>
        <w:rPr>
          <w:u w:val="single"/>
        </w:rPr>
        <w:t>Zwiększona częstość napadów</w:t>
      </w:r>
    </w:p>
    <w:p w14:paraId="68D56D12" w14:textId="77777777" w:rsidR="00132F98" w:rsidRDefault="00132F98">
      <w:pPr>
        <w:keepNext/>
        <w:keepLines/>
        <w:spacing w:line="259" w:lineRule="auto"/>
      </w:pPr>
    </w:p>
    <w:p w14:paraId="68D56D13" w14:textId="77777777" w:rsidR="00132F98" w:rsidRDefault="00584E7E">
      <w:pPr>
        <w:keepNext/>
        <w:keepLines/>
      </w:pPr>
      <w:r>
        <w:t>Podobnie jak w przypadku innych leków przeciwpadaczkowych podczas leczenia fenfluraminą może wystąpić istotne klinicznie zwiększenie częstości napadów, co może wymagać dostosowania dawki fenfluraminy i (lub) jednocześn</w:t>
      </w:r>
      <w:r>
        <w:t>ie stosowanych leków przeciwpadaczkowych bądź przerwania leczenia fenfluraminą, jeśli stosunek korzyści do ryzyka jest negatywny.</w:t>
      </w:r>
    </w:p>
    <w:p w14:paraId="68D56D14" w14:textId="77777777" w:rsidR="00132F98" w:rsidRDefault="00132F98">
      <w:pPr>
        <w:spacing w:line="259" w:lineRule="auto"/>
      </w:pPr>
    </w:p>
    <w:p w14:paraId="68D56D15" w14:textId="77777777" w:rsidR="00132F98" w:rsidRDefault="00584E7E">
      <w:pPr>
        <w:spacing w:line="259" w:lineRule="auto"/>
        <w:rPr>
          <w:u w:val="single"/>
        </w:rPr>
      </w:pPr>
      <w:r>
        <w:rPr>
          <w:u w:val="single"/>
        </w:rPr>
        <w:t>Cyproheptadyna</w:t>
      </w:r>
    </w:p>
    <w:p w14:paraId="68D56D16" w14:textId="77777777" w:rsidR="00132F98" w:rsidRDefault="00132F98">
      <w:pPr>
        <w:spacing w:line="259" w:lineRule="auto"/>
      </w:pPr>
    </w:p>
    <w:p w14:paraId="68D56D17" w14:textId="77777777" w:rsidR="00132F98" w:rsidRDefault="00584E7E">
      <w:r>
        <w:t>Cyproheptadyna jest silnym antagonistą receptora serotoninowego, może zatem zmniejszać skuteczność fenflurami</w:t>
      </w:r>
      <w:r>
        <w:t>ny. Jeśli cyproheptadyna jest stosowana w skojarzeniu z fenfluraminą, należy monitorować pacjentów pod kątem nasilenia napadów. Jeśli fenfluraminę włącza się do leczenia pacjentów przyjmujących cyproheptadynę, to skuteczność fenfluraminy może być zmniejszo</w:t>
      </w:r>
      <w:r>
        <w:t>na.</w:t>
      </w:r>
    </w:p>
    <w:p w14:paraId="68D56D18" w14:textId="77777777" w:rsidR="00132F98" w:rsidRDefault="00132F98">
      <w:pPr>
        <w:spacing w:line="259" w:lineRule="auto"/>
      </w:pPr>
    </w:p>
    <w:p w14:paraId="68D56D19" w14:textId="77777777" w:rsidR="00132F98" w:rsidRDefault="00584E7E">
      <w:pPr>
        <w:textAlignment w:val="baseline"/>
      </w:pPr>
      <w:r>
        <w:rPr>
          <w:u w:val="single"/>
        </w:rPr>
        <w:t>Jaskra</w:t>
      </w:r>
    </w:p>
    <w:p w14:paraId="68D56D1A" w14:textId="77777777" w:rsidR="00132F98" w:rsidRDefault="00132F98">
      <w:pPr>
        <w:textAlignment w:val="baseline"/>
      </w:pPr>
    </w:p>
    <w:p w14:paraId="68D56D1B" w14:textId="77777777" w:rsidR="00132F98" w:rsidRDefault="00584E7E">
      <w:r>
        <w:t>Fenfluramina może powodować mydriazę i wywołać jaskrę z zamkniętym kątem przesączania. U pacjentów z nagłym pogorszeniem ostrości wzroku należy przerwać leczenie. Należy rozważyć przerwanie leczenia w przypadku bólu oka o nieustalonej innej pr</w:t>
      </w:r>
      <w:r>
        <w:t>zyczynie.</w:t>
      </w:r>
    </w:p>
    <w:p w14:paraId="68D56D1C" w14:textId="77777777" w:rsidR="00132F98" w:rsidRDefault="00132F98">
      <w:pPr>
        <w:outlineLvl w:val="0"/>
      </w:pPr>
    </w:p>
    <w:p w14:paraId="68D56D1D" w14:textId="77777777" w:rsidR="00132F98" w:rsidRDefault="00584E7E">
      <w:pPr>
        <w:spacing w:line="240" w:lineRule="auto"/>
        <w:rPr>
          <w:u w:val="single"/>
        </w:rPr>
      </w:pPr>
      <w:r>
        <w:rPr>
          <w:u w:val="single"/>
        </w:rPr>
        <w:t>Wpływ induktorów CYP1A2 i CYP2B6</w:t>
      </w:r>
    </w:p>
    <w:p w14:paraId="68D56D1E" w14:textId="77777777" w:rsidR="00132F98" w:rsidRDefault="00132F98">
      <w:pPr>
        <w:spacing w:line="240" w:lineRule="auto"/>
        <w:rPr>
          <w:u w:val="single"/>
        </w:rPr>
      </w:pPr>
    </w:p>
    <w:p w14:paraId="68D56D1F" w14:textId="77777777" w:rsidR="00132F98" w:rsidRDefault="00584E7E">
      <w:pPr>
        <w:spacing w:line="240" w:lineRule="auto"/>
      </w:pPr>
      <w:r>
        <w:t>Jednoczesne podawanie z silnymi induktorami CYP1A2 lub CYP2B6 zmniejsza stężenie fenfluraminy w osoczu, co może zmniejszyć skuteczność fenfluraminy (patrz punkt 4.5). Jeżeli jednoczesne podawanie silnego indukto</w:t>
      </w:r>
      <w:r>
        <w:t>ra CYP1A2 lub CYP2B6 z fenfluraminą zostanie uznane za konieczne, należy monitorować pacjenta pod kątem zmniejszonej skuteczności i można wówczas rozważyć zwiększenie dawki fenfluraminy, pod warunkiem, że nie przekroczy ona dwukrotności maksymalnej dawki d</w:t>
      </w:r>
      <w:r>
        <w:t>obowej (52 mg/dobę) (patrz punkt 4.2). Jeżeli stosowanie silnego induktora CYP1A2 lub CYP2B6 zostanie przerwane podczas leczenia podtrzymującego fenfluraminą, należy rozważyć stopniowe zmniejszenie dawki fenfluraminy do dawki podawanej przed rozpoczęciem s</w:t>
      </w:r>
      <w:r>
        <w:t>tosowania induktora (patrz punkt 4.2).</w:t>
      </w:r>
    </w:p>
    <w:p w14:paraId="68D56D20" w14:textId="77777777" w:rsidR="00132F98" w:rsidRDefault="00132F98">
      <w:pPr>
        <w:spacing w:line="240" w:lineRule="auto"/>
      </w:pPr>
    </w:p>
    <w:p w14:paraId="68D56D21" w14:textId="77777777" w:rsidR="00132F98" w:rsidRDefault="00584E7E">
      <w:pPr>
        <w:spacing w:line="240" w:lineRule="auto"/>
        <w:rPr>
          <w:u w:val="single"/>
        </w:rPr>
      </w:pPr>
      <w:r>
        <w:rPr>
          <w:u w:val="single"/>
        </w:rPr>
        <w:t>Wpływ inhibitorów CYP1A2 lub CYP2D6</w:t>
      </w:r>
    </w:p>
    <w:p w14:paraId="68D56D22" w14:textId="77777777" w:rsidR="00132F98" w:rsidRDefault="00132F98">
      <w:pPr>
        <w:spacing w:line="240" w:lineRule="auto"/>
      </w:pPr>
    </w:p>
    <w:p w14:paraId="68D56D23" w14:textId="77777777" w:rsidR="00132F98" w:rsidRDefault="00584E7E">
      <w:pPr>
        <w:spacing w:line="240" w:lineRule="auto"/>
      </w:pPr>
      <w:r>
        <w:t xml:space="preserve">Rozpoczęcie jednoczesnego leczenia silnym inhibitorem CYP1A2 lub CYP2D6 może powodować zwiększenie ekspozycji i dlatego też należy monitorować pod kątem występowania </w:t>
      </w:r>
      <w:r>
        <w:t>działań niepożądanych, a u niektórych pacjentów może być konieczne zmniejszenie dawki.</w:t>
      </w:r>
    </w:p>
    <w:p w14:paraId="68D56D24" w14:textId="77777777" w:rsidR="00132F98" w:rsidRDefault="00132F98">
      <w:pPr>
        <w:spacing w:line="240" w:lineRule="auto"/>
      </w:pPr>
    </w:p>
    <w:p w14:paraId="68D56D25" w14:textId="77777777" w:rsidR="00132F98" w:rsidRDefault="00584E7E">
      <w:pPr>
        <w:spacing w:line="240" w:lineRule="auto"/>
      </w:pPr>
      <w:r>
        <w:t>Jednoczesne podanie pojedynczej dawki fenfluraminy wynoszącej 0,35 mg/kg mc. z fluwoksaminą (silnym inhibitorem CYP1A2) w stanie stacjonarnym (50 mg raz na dobę) zdrowy</w:t>
      </w:r>
      <w:r>
        <w:t>m ochotnikom spowodowało zwiększenie AUC0-t fenfluraminy o 2,1 raza oraz C</w:t>
      </w:r>
      <w:r>
        <w:rPr>
          <w:vertAlign w:val="subscript"/>
        </w:rPr>
        <w:t>max</w:t>
      </w:r>
      <w:r>
        <w:t xml:space="preserve"> o 1,2 raza, a także zmniejszenie AUC0-t norfenfluraminy o 1,3 raza oraz C</w:t>
      </w:r>
      <w:r>
        <w:rPr>
          <w:vertAlign w:val="subscript"/>
        </w:rPr>
        <w:t>max</w:t>
      </w:r>
      <w:r>
        <w:t xml:space="preserve"> o 1,4 raza, w porównaniu z fenfluraminą podawaną w monoterapii.</w:t>
      </w:r>
    </w:p>
    <w:p w14:paraId="68D56D26" w14:textId="77777777" w:rsidR="00132F98" w:rsidRDefault="00132F98">
      <w:pPr>
        <w:spacing w:line="240" w:lineRule="auto"/>
      </w:pPr>
    </w:p>
    <w:p w14:paraId="68D56D27" w14:textId="77777777" w:rsidR="00132F98" w:rsidRDefault="00584E7E">
      <w:r>
        <w:t>Jednoczesne podanie pojedynczej dawk</w:t>
      </w:r>
      <w:r>
        <w:t>i fenfluraminy wynoszącej 0,35 mg/kg mc. z paroksetyną (silnym inhibitorem CYP2D6) w stanie stacjonarnym (30 mg raz na dobę) zdrowym ochotnikom spowodowało zwiększenie AUC0-t fenfluraminy o 1,8 raza oraz C</w:t>
      </w:r>
      <w:r>
        <w:rPr>
          <w:vertAlign w:val="subscript"/>
        </w:rPr>
        <w:t>max</w:t>
      </w:r>
      <w:r>
        <w:t xml:space="preserve"> o 1,1 raza, a także zmniejszenie AUC0-t norfenf</w:t>
      </w:r>
      <w:r>
        <w:t>luraminy o 1,2 raza oraz C</w:t>
      </w:r>
      <w:r>
        <w:rPr>
          <w:vertAlign w:val="subscript"/>
        </w:rPr>
        <w:t>max</w:t>
      </w:r>
      <w:r>
        <w:t xml:space="preserve"> o 1,3 raza, w porówaniu z fenfluraminą podawaną w monoterapii.</w:t>
      </w:r>
    </w:p>
    <w:p w14:paraId="68D56D28" w14:textId="77777777" w:rsidR="00132F98" w:rsidRDefault="00132F98">
      <w:pPr>
        <w:rPr>
          <w:u w:val="single"/>
        </w:rPr>
      </w:pPr>
    </w:p>
    <w:p w14:paraId="68D56D29" w14:textId="77777777" w:rsidR="00132F98" w:rsidRDefault="00584E7E">
      <w:pPr>
        <w:rPr>
          <w:color w:val="000000"/>
          <w:u w:val="single"/>
        </w:rPr>
      </w:pPr>
      <w:r>
        <w:rPr>
          <w:color w:val="000000"/>
          <w:u w:val="single"/>
        </w:rPr>
        <w:t>Substancje pomocnicze</w:t>
      </w:r>
    </w:p>
    <w:p w14:paraId="68D56D2A" w14:textId="77777777" w:rsidR="00132F98" w:rsidRDefault="00132F98">
      <w:pPr>
        <w:rPr>
          <w:u w:val="single"/>
        </w:rPr>
      </w:pPr>
    </w:p>
    <w:p w14:paraId="68D56D2B" w14:textId="77777777" w:rsidR="00132F98" w:rsidRDefault="00584E7E">
      <w:r>
        <w:t xml:space="preserve">Ten produkt leczniczy zawiera sól sodową parahydroksybenzoesanu etylu (E 215) oraz sól sodową parahydroksybenzoesanu metylu (E 219), które </w:t>
      </w:r>
      <w:r>
        <w:t>mogą wywoływać reakcje alergiczne (możliwe reakcje typu późnego).</w:t>
      </w:r>
    </w:p>
    <w:p w14:paraId="68D56D2C" w14:textId="77777777" w:rsidR="00132F98" w:rsidRDefault="00132F98"/>
    <w:p w14:paraId="68D56D2D" w14:textId="77777777" w:rsidR="00132F98" w:rsidRDefault="00584E7E">
      <w:r>
        <w:t>Zawiera on też siarki dwutlenek (E 220), który rzadko może powodować ciężkie reakcje nadwrażliwości i skurcz oskrzeli.</w:t>
      </w:r>
    </w:p>
    <w:p w14:paraId="68D56D2E" w14:textId="77777777" w:rsidR="00132F98" w:rsidRDefault="00132F98"/>
    <w:p w14:paraId="68D56D2F" w14:textId="77777777" w:rsidR="00132F98" w:rsidRDefault="00584E7E">
      <w:r>
        <w:t>Pacjenci z rzadko występującym zespołem złego wchłaniania glukozy-gal</w:t>
      </w:r>
      <w:r>
        <w:t>aktozy nie powinni przyjmować tego produktu leczniczego.</w:t>
      </w:r>
    </w:p>
    <w:p w14:paraId="68D56D30" w14:textId="77777777" w:rsidR="00132F98" w:rsidRDefault="00132F98"/>
    <w:p w14:paraId="68D56D31" w14:textId="77777777" w:rsidR="00132F98" w:rsidRDefault="00584E7E">
      <w:bookmarkStart w:id="1" w:name="_Hlk49862093"/>
      <w:r>
        <w:t>Ten produkt leczniczy zawiera mniej niż 1 mmol (23 mg) sodu w maksymalnej dawce dobowej wynoszącej 12 ml, to znaczy lek uznaje się za „wolny od sodu”.</w:t>
      </w:r>
    </w:p>
    <w:p w14:paraId="68D56D32" w14:textId="77777777" w:rsidR="00132F98" w:rsidRDefault="00132F98"/>
    <w:p w14:paraId="68D56D33" w14:textId="77777777" w:rsidR="00132F98" w:rsidRDefault="00584E7E">
      <w:r>
        <w:t>Ten produkt leczniczy zawiera glukozę, która m</w:t>
      </w:r>
      <w:r>
        <w:t>oże wpływać szkodliwie na zęby.</w:t>
      </w:r>
    </w:p>
    <w:bookmarkEnd w:id="1"/>
    <w:p w14:paraId="68D56D34" w14:textId="77777777" w:rsidR="00132F98" w:rsidRDefault="00132F98">
      <w:pPr>
        <w:spacing w:line="240" w:lineRule="auto"/>
        <w:outlineLvl w:val="0"/>
        <w:rPr>
          <w:b/>
        </w:rPr>
      </w:pPr>
    </w:p>
    <w:p w14:paraId="68D56D35" w14:textId="77777777" w:rsidR="00132F98" w:rsidRDefault="00584E7E">
      <w:pPr>
        <w:keepNext/>
        <w:keepLines/>
        <w:spacing w:line="240" w:lineRule="auto"/>
        <w:ind w:left="567" w:hanging="567"/>
        <w:outlineLvl w:val="0"/>
        <w:rPr>
          <w:szCs w:val="22"/>
        </w:rPr>
      </w:pPr>
      <w:r>
        <w:rPr>
          <w:b/>
        </w:rPr>
        <w:t>4.5</w:t>
      </w:r>
      <w:r>
        <w:rPr>
          <w:b/>
          <w:bCs/>
        </w:rPr>
        <w:t xml:space="preserve"> </w:t>
      </w:r>
      <w:r>
        <w:rPr>
          <w:b/>
          <w:szCs w:val="22"/>
        </w:rPr>
        <w:tab/>
      </w:r>
      <w:r>
        <w:rPr>
          <w:b/>
        </w:rPr>
        <w:t>Interakcje z innymi produktami leczniczymi i inne rodzaje interakcji</w:t>
      </w:r>
    </w:p>
    <w:p w14:paraId="68D56D36" w14:textId="77777777" w:rsidR="00132F98" w:rsidRDefault="00132F98">
      <w:pPr>
        <w:keepNext/>
        <w:keepLines/>
        <w:rPr>
          <w:noProof/>
        </w:rPr>
      </w:pPr>
    </w:p>
    <w:p w14:paraId="68D56D37" w14:textId="77777777" w:rsidR="00132F98" w:rsidRDefault="00584E7E">
      <w:pPr>
        <w:keepNext/>
        <w:keepLines/>
        <w:rPr>
          <w:noProof/>
          <w:u w:val="single"/>
        </w:rPr>
      </w:pPr>
      <w:r>
        <w:rPr>
          <w:u w:val="single"/>
        </w:rPr>
        <w:t>Interakcje farmakodynamiczne</w:t>
      </w:r>
    </w:p>
    <w:p w14:paraId="68D56D38" w14:textId="77777777" w:rsidR="00132F98" w:rsidRDefault="00132F98">
      <w:pPr>
        <w:keepNext/>
        <w:keepLines/>
        <w:rPr>
          <w:noProof/>
        </w:rPr>
      </w:pPr>
    </w:p>
    <w:p w14:paraId="68D56D39" w14:textId="77777777" w:rsidR="00132F98" w:rsidRDefault="00584E7E">
      <w:pPr>
        <w:keepNext/>
        <w:keepLines/>
        <w:rPr>
          <w:noProof/>
        </w:rPr>
      </w:pPr>
      <w:r>
        <w:t xml:space="preserve">Interakcje farmakodynamiczne z innymi lekami działającymi hamująco na ośrodkowy układ nerwowy zwiększają ryzyko </w:t>
      </w:r>
      <w:r>
        <w:t>nasilonego działania hamującego na ośrodkowy układ nerwowy. Przykładami takich leków są: inne leki serotoninergiczne (w tym z grupy SSRI, SNRI, trójpierścieniowych leków przeciwdepresyjnych lub tryptanów), leki wpływające na metabolizm serotoniny (jak IMAO</w:t>
      </w:r>
      <w:r>
        <w:t>) lub leki przeciwpsychotyczne, które mogą wpływać na układy neuroprzekaźników serotoninergicznych (patrz punkty 4.3 i 4.4).</w:t>
      </w:r>
    </w:p>
    <w:p w14:paraId="68D56D3A" w14:textId="77777777" w:rsidR="00132F98" w:rsidRDefault="00132F98">
      <w:pPr>
        <w:rPr>
          <w:noProof/>
        </w:rPr>
      </w:pPr>
    </w:p>
    <w:p w14:paraId="68D56D3B" w14:textId="77777777" w:rsidR="00132F98" w:rsidRDefault="00584E7E">
      <w:pPr>
        <w:rPr>
          <w:noProof/>
          <w:u w:val="single"/>
        </w:rPr>
      </w:pPr>
      <w:r>
        <w:rPr>
          <w:u w:val="single"/>
        </w:rPr>
        <w:t>Interakcje farmakokinetyczne</w:t>
      </w:r>
    </w:p>
    <w:p w14:paraId="68D56D3C" w14:textId="77777777" w:rsidR="00132F98" w:rsidRDefault="00132F98">
      <w:pPr>
        <w:rPr>
          <w:noProof/>
        </w:rPr>
      </w:pPr>
    </w:p>
    <w:p w14:paraId="68D56D3D" w14:textId="77777777" w:rsidR="00132F98" w:rsidRDefault="00584E7E">
      <w:pPr>
        <w:rPr>
          <w:i/>
          <w:noProof/>
        </w:rPr>
      </w:pPr>
      <w:r>
        <w:rPr>
          <w:i/>
        </w:rPr>
        <w:t>Badania kliniczne</w:t>
      </w:r>
    </w:p>
    <w:p w14:paraId="68D56D3E" w14:textId="77777777" w:rsidR="00132F98" w:rsidRDefault="00132F98">
      <w:pPr>
        <w:rPr>
          <w:i/>
          <w:noProof/>
        </w:rPr>
      </w:pPr>
    </w:p>
    <w:p w14:paraId="68D56D3F" w14:textId="77777777" w:rsidR="00132F98" w:rsidRDefault="00584E7E">
      <w:pPr>
        <w:rPr>
          <w:i/>
          <w:iCs/>
          <w:noProof/>
          <w:u w:val="single"/>
        </w:rPr>
      </w:pPr>
      <w:r>
        <w:rPr>
          <w:i/>
          <w:iCs/>
          <w:u w:val="single"/>
        </w:rPr>
        <w:t>Wpływ styrypentolu w stanie stacjonarnym oraz klobazamu i (lub) walproinianu na f</w:t>
      </w:r>
      <w:r>
        <w:rPr>
          <w:i/>
          <w:iCs/>
          <w:u w:val="single"/>
        </w:rPr>
        <w:t>enfluraminę</w:t>
      </w:r>
    </w:p>
    <w:p w14:paraId="68D56D40" w14:textId="77777777" w:rsidR="00132F98" w:rsidRDefault="00584E7E">
      <w:pPr>
        <w:rPr>
          <w:noProof/>
        </w:rPr>
      </w:pPr>
      <w:r>
        <w:t>W ramach badań fazy III podawanie w stanie stacjonarnym fenfluraminy w dawce 0,2 mg/kg mc. dwa razy na dobę (0,4 mg/kg mc. na dobę), maksymalnie 17 mg na dobę, jednocześnie ze standardowym schematem leczenia przeciwpadaczkowego, zawierającym st</w:t>
      </w:r>
      <w:r>
        <w:t>yrypentol oraz klobazam i (lub) walproinian, powodowało zwiększenie AUC</w:t>
      </w:r>
      <w:r>
        <w:rPr>
          <w:vertAlign w:val="subscript"/>
        </w:rPr>
        <w:t>0</w:t>
      </w:r>
      <w:r>
        <w:rPr>
          <w:vertAlign w:val="subscript"/>
        </w:rPr>
        <w:noBreakHyphen/>
        <w:t>24</w:t>
      </w:r>
      <w:r>
        <w:t xml:space="preserve"> fenfluraminy o 130% i zmniejszenie AUC</w:t>
      </w:r>
      <w:r>
        <w:rPr>
          <w:vertAlign w:val="subscript"/>
        </w:rPr>
        <w:t>0</w:t>
      </w:r>
      <w:r>
        <w:rPr>
          <w:vertAlign w:val="subscript"/>
        </w:rPr>
        <w:noBreakHyphen/>
        <w:t>24</w:t>
      </w:r>
      <w:r>
        <w:t xml:space="preserve"> norfenfluraminy o 60% w porównaniu z dawkami fenfluraminy wynoszącymi 0,35 mg/kg mc. dwa razy na dobę (0,7 mg/kg mc. na dobę), maksymalni</w:t>
      </w:r>
      <w:r>
        <w:t>e 26 mg na dobę, stosowanymi bez podawania styrypentolu (patrz punkt 4.2).</w:t>
      </w:r>
    </w:p>
    <w:p w14:paraId="68D56D41" w14:textId="77777777" w:rsidR="00132F98" w:rsidRDefault="00132F98">
      <w:pPr>
        <w:rPr>
          <w:noProof/>
        </w:rPr>
      </w:pPr>
    </w:p>
    <w:p w14:paraId="68D56D42" w14:textId="77777777" w:rsidR="00132F98" w:rsidRDefault="00584E7E">
      <w:pPr>
        <w:rPr>
          <w:i/>
          <w:iCs/>
          <w:noProof/>
          <w:u w:val="single"/>
        </w:rPr>
      </w:pPr>
      <w:bookmarkStart w:id="2" w:name="_Hlk49862213"/>
      <w:r>
        <w:rPr>
          <w:i/>
          <w:iCs/>
          <w:u w:val="single"/>
        </w:rPr>
        <w:t>Wpływ kannabidiolu w stanie stacjonarnym na fenfluraminę</w:t>
      </w:r>
    </w:p>
    <w:p w14:paraId="68D56D43" w14:textId="77777777" w:rsidR="00132F98" w:rsidRDefault="00584E7E">
      <w:pPr>
        <w:rPr>
          <w:noProof/>
        </w:rPr>
      </w:pPr>
      <w:r>
        <w:t>Jednoczesne podawanie pojedynczej dawki 0,35 mg/kg mc. fenfluraminy i wielokrotnych dawek kannabidiolu powodowało zwiększen</w:t>
      </w:r>
      <w:r>
        <w:t>ie AUC</w:t>
      </w:r>
      <w:r>
        <w:rPr>
          <w:vertAlign w:val="subscript"/>
        </w:rPr>
        <w:t>0</w:t>
      </w:r>
      <w:r>
        <w:rPr>
          <w:vertAlign w:val="subscript"/>
        </w:rPr>
        <w:noBreakHyphen/>
        <w:t>INF</w:t>
      </w:r>
      <w:r>
        <w:t xml:space="preserve"> fenfluraminy o 59% i C</w:t>
      </w:r>
      <w:r>
        <w:rPr>
          <w:vertAlign w:val="subscript"/>
        </w:rPr>
        <w:t>max</w:t>
      </w:r>
      <w:r>
        <w:t xml:space="preserve"> o 10%, oraz zmniejszenie AUC</w:t>
      </w:r>
      <w:r>
        <w:rPr>
          <w:vertAlign w:val="subscript"/>
        </w:rPr>
        <w:t>0</w:t>
      </w:r>
      <w:r>
        <w:rPr>
          <w:vertAlign w:val="subscript"/>
        </w:rPr>
        <w:noBreakHyphen/>
        <w:t>INF</w:t>
      </w:r>
      <w:r>
        <w:t xml:space="preserve"> norfenfluraminy o 22% i C</w:t>
      </w:r>
      <w:r>
        <w:rPr>
          <w:vertAlign w:val="subscript"/>
        </w:rPr>
        <w:t>max</w:t>
      </w:r>
      <w:r>
        <w:t xml:space="preserve"> o 33% w porównaniu z fenfluraminą stosowaną w monoterapii. Jednoczesne podawanie pojedynczej dawki 0,35 mg/kg mc. fenfluraminy i wielokrotnych dawek kannab</w:t>
      </w:r>
      <w:r>
        <w:t>idiolu nie wpływało na farmakokinetykę kannabidiolu w porównaniu ze stosowaniem samego kannabidiolu. W przypadku jednoczesnego podawania fenfluraminy i kannabidiolu nie jest konieczne dostosowywanie dawki.</w:t>
      </w:r>
    </w:p>
    <w:p w14:paraId="68D56D44" w14:textId="77777777" w:rsidR="00132F98" w:rsidRDefault="00132F98">
      <w:pPr>
        <w:rPr>
          <w:noProof/>
        </w:rPr>
      </w:pPr>
    </w:p>
    <w:p w14:paraId="68D56D45" w14:textId="77777777" w:rsidR="00132F98" w:rsidRDefault="00584E7E">
      <w:pPr>
        <w:rPr>
          <w:i/>
          <w:iCs/>
          <w:noProof/>
        </w:rPr>
      </w:pPr>
      <w:r>
        <w:rPr>
          <w:i/>
          <w:iCs/>
          <w:noProof/>
        </w:rPr>
        <w:t>Wpływ ryfampicyny (silny induktor CYP3A i 2C19 or</w:t>
      </w:r>
      <w:r>
        <w:rPr>
          <w:i/>
          <w:iCs/>
          <w:noProof/>
        </w:rPr>
        <w:t>az umiarkowany induktor CYP1A2, 2B6, 2C8 i 2C9), lub silnych induktorów CYP1A2 lub CYP2B6</w:t>
      </w:r>
    </w:p>
    <w:p w14:paraId="68D56D46" w14:textId="77777777" w:rsidR="00132F98" w:rsidRDefault="00584E7E">
      <w:pPr>
        <w:rPr>
          <w:noProof/>
        </w:rPr>
      </w:pPr>
      <w:r>
        <w:rPr>
          <w:noProof/>
        </w:rPr>
        <w:t>Ryfampicyna indukuje wiele enzymów CYP, które metabolizują fenfluraminę i norfenfluraminę.</w:t>
      </w:r>
    </w:p>
    <w:p w14:paraId="68D56D47" w14:textId="77777777" w:rsidR="00132F98" w:rsidRDefault="00584E7E">
      <w:pPr>
        <w:rPr>
          <w:noProof/>
        </w:rPr>
      </w:pPr>
      <w:r>
        <w:rPr>
          <w:noProof/>
        </w:rPr>
        <w:t>Jednoczesne podanie pojedynczej dawki fenfluraminy wynoszącej 0,35 mg/kg mc</w:t>
      </w:r>
      <w:r>
        <w:rPr>
          <w:noProof/>
        </w:rPr>
        <w:t>. z ryfampicyną w stanie stacjonarnym (600 mg raz na dobę) zdrowym ochotnikom spowodowało zmniejszenie AUC0--t fenfluraminy o 58% oraz C</w:t>
      </w:r>
      <w:r>
        <w:rPr>
          <w:noProof/>
          <w:vertAlign w:val="subscript"/>
        </w:rPr>
        <w:t>max</w:t>
      </w:r>
      <w:r>
        <w:rPr>
          <w:noProof/>
        </w:rPr>
        <w:t xml:space="preserve"> o 40%, a także zmniejszenie AUC0-t norfenfluraminy o 50% oraz zwiększenie C</w:t>
      </w:r>
      <w:r>
        <w:rPr>
          <w:noProof/>
          <w:vertAlign w:val="subscript"/>
        </w:rPr>
        <w:t>max</w:t>
      </w:r>
      <w:r>
        <w:rPr>
          <w:noProof/>
        </w:rPr>
        <w:t xml:space="preserve"> norfenfluraminy o 13%, w porównaniu z</w:t>
      </w:r>
      <w:r>
        <w:rPr>
          <w:noProof/>
        </w:rPr>
        <w:t xml:space="preserve"> fenfluraminą podawaną w monoterapii. Zwiększenie dawki fenfluraminy może być konieczne w przypadku jednoczesnego podawania z </w:t>
      </w:r>
      <w:r>
        <w:rPr>
          <w:i/>
          <w:iCs/>
          <w:noProof/>
        </w:rPr>
        <w:t xml:space="preserve">ryfampicyną </w:t>
      </w:r>
      <w:r>
        <w:rPr>
          <w:noProof/>
        </w:rPr>
        <w:t>bądź z silnym induktorem CYP1A2 lub CYP2B6 (patrz punkt 4.4).</w:t>
      </w:r>
    </w:p>
    <w:p w14:paraId="68D56D48" w14:textId="77777777" w:rsidR="00132F98" w:rsidRDefault="00132F98">
      <w:pPr>
        <w:rPr>
          <w:noProof/>
        </w:rPr>
      </w:pPr>
    </w:p>
    <w:p w14:paraId="68D56D49" w14:textId="77777777" w:rsidR="00132F98" w:rsidRDefault="00584E7E">
      <w:pPr>
        <w:keepNext/>
        <w:keepLines/>
        <w:rPr>
          <w:i/>
          <w:iCs/>
          <w:noProof/>
        </w:rPr>
      </w:pPr>
      <w:r>
        <w:rPr>
          <w:i/>
          <w:iCs/>
          <w:noProof/>
        </w:rPr>
        <w:lastRenderedPageBreak/>
        <w:t>Wpływ inhibitorów CYP1A2 lub CYP2D6:</w:t>
      </w:r>
    </w:p>
    <w:p w14:paraId="68D56D4A" w14:textId="77777777" w:rsidR="00132F98" w:rsidRDefault="00584E7E">
      <w:pPr>
        <w:keepNext/>
        <w:keepLines/>
        <w:rPr>
          <w:noProof/>
        </w:rPr>
      </w:pPr>
      <w:r>
        <w:rPr>
          <w:noProof/>
        </w:rPr>
        <w:t>Jednoczesne podani</w:t>
      </w:r>
      <w:r>
        <w:rPr>
          <w:noProof/>
        </w:rPr>
        <w:t>e pojedynczej dawki fenfluraminy wynoszącej 0,35 mg/kg mc. z fluwoksaminą (silnym inhibitorem CYP1A2) w stanie stacjonarnym (50 mg raz na dobę) zdrowym ochotnikom spowodowało zwiększenie AUC0-t fenfluraminy o 2,1 raza oraz C</w:t>
      </w:r>
      <w:r>
        <w:rPr>
          <w:noProof/>
          <w:vertAlign w:val="subscript"/>
        </w:rPr>
        <w:t>max</w:t>
      </w:r>
      <w:r>
        <w:rPr>
          <w:noProof/>
        </w:rPr>
        <w:t xml:space="preserve"> o 1,2 raza, a także zmniejsz</w:t>
      </w:r>
      <w:r>
        <w:rPr>
          <w:noProof/>
        </w:rPr>
        <w:t>enie AUC0-t norfenfluraminy o 1,3 raza oraz C</w:t>
      </w:r>
      <w:r>
        <w:rPr>
          <w:noProof/>
          <w:vertAlign w:val="subscript"/>
        </w:rPr>
        <w:t>max</w:t>
      </w:r>
      <w:r>
        <w:rPr>
          <w:noProof/>
        </w:rPr>
        <w:t xml:space="preserve"> o 1,4 raza, w porównaniu z fenfluraminą podawaną w monoterapii.</w:t>
      </w:r>
    </w:p>
    <w:p w14:paraId="68D56D4B" w14:textId="77777777" w:rsidR="00132F98" w:rsidRDefault="00132F98">
      <w:pPr>
        <w:rPr>
          <w:noProof/>
        </w:rPr>
      </w:pPr>
    </w:p>
    <w:p w14:paraId="68D56D4C" w14:textId="77777777" w:rsidR="00132F98" w:rsidRDefault="00584E7E">
      <w:pPr>
        <w:rPr>
          <w:noProof/>
        </w:rPr>
      </w:pPr>
      <w:r>
        <w:rPr>
          <w:noProof/>
        </w:rPr>
        <w:t>Jednoczesne podanie pojedynczej dawki fenfluraminy wynoszącej 0,35 mg/kg mc. z paroksetyną (silnym inhibitorem CYP2D6) w stanie stacjonarnym (</w:t>
      </w:r>
      <w:r>
        <w:rPr>
          <w:noProof/>
        </w:rPr>
        <w:t>30 mg raz na dobę) u zdrowych ochotników spowodowało zwiększenie AUC0-t fenfluraminy o 1,8 raza oraz C</w:t>
      </w:r>
      <w:r>
        <w:rPr>
          <w:noProof/>
          <w:vertAlign w:val="subscript"/>
        </w:rPr>
        <w:t>max</w:t>
      </w:r>
      <w:r>
        <w:rPr>
          <w:noProof/>
        </w:rPr>
        <w:t xml:space="preserve"> o 1,1 raza, a także zmniejszenie AUC0-t norfenfluraminy o 1,2 raza oraz C</w:t>
      </w:r>
      <w:r>
        <w:rPr>
          <w:noProof/>
          <w:vertAlign w:val="subscript"/>
        </w:rPr>
        <w:t>max</w:t>
      </w:r>
      <w:r>
        <w:rPr>
          <w:noProof/>
        </w:rPr>
        <w:t xml:space="preserve"> o 1,3 raza, w porówaniu z fenfluraminą podawaną w monoterapii.</w:t>
      </w:r>
    </w:p>
    <w:p w14:paraId="68D56D4D" w14:textId="77777777" w:rsidR="00132F98" w:rsidRDefault="00132F98">
      <w:pPr>
        <w:rPr>
          <w:noProof/>
        </w:rPr>
      </w:pPr>
    </w:p>
    <w:p w14:paraId="68D56D4E" w14:textId="77777777" w:rsidR="00132F98" w:rsidRDefault="00584E7E">
      <w:pPr>
        <w:keepNext/>
        <w:rPr>
          <w:i/>
          <w:iCs/>
          <w:noProof/>
        </w:rPr>
      </w:pPr>
      <w:r>
        <w:rPr>
          <w:i/>
          <w:iCs/>
        </w:rPr>
        <w:t>Badania i</w:t>
      </w:r>
      <w:r>
        <w:rPr>
          <w:i/>
          <w:iCs/>
        </w:rPr>
        <w:t>n vitro</w:t>
      </w:r>
    </w:p>
    <w:p w14:paraId="68D56D4F" w14:textId="77777777" w:rsidR="00132F98" w:rsidRDefault="00132F98">
      <w:pPr>
        <w:spacing w:line="240" w:lineRule="auto"/>
      </w:pPr>
    </w:p>
    <w:p w14:paraId="68D56D50" w14:textId="77777777" w:rsidR="00132F98" w:rsidRDefault="00584E7E">
      <w:pPr>
        <w:rPr>
          <w:i/>
          <w:iCs/>
          <w:noProof/>
          <w:u w:val="single"/>
        </w:rPr>
      </w:pPr>
      <w:r>
        <w:rPr>
          <w:i/>
          <w:iCs/>
          <w:u w:val="single"/>
        </w:rPr>
        <w:t>Wpływ fenfluraminy na inne produkty lecznicze</w:t>
      </w:r>
    </w:p>
    <w:p w14:paraId="68D56D51" w14:textId="77777777" w:rsidR="00132F98" w:rsidRDefault="00584E7E">
      <w:pPr>
        <w:rPr>
          <w:noProof/>
        </w:rPr>
      </w:pPr>
      <w:r>
        <w:t xml:space="preserve">Jednoczesne podawanie pojedynczej dawki 0,7 mg/kg mc. fenfluraminy i pojedynczej dawki skojarzenia styrypentolu, klobazamu i kwasu walproinowego nie wpływało na farmakokinetykę </w:t>
      </w:r>
      <w:r>
        <w:t>styrypentolu, klobazamu, jego N-demetylowanego metabolitu (norklobazamu) ani na farmakokinetykę kwasu walproinowego w porównaniu ze stosowaniem samego skojarzenia styrypentolu, klobazamu i kwasu walproinowego.</w:t>
      </w:r>
    </w:p>
    <w:p w14:paraId="68D56D52" w14:textId="77777777" w:rsidR="00132F98" w:rsidRDefault="00132F98">
      <w:pPr>
        <w:rPr>
          <w:noProof/>
        </w:rPr>
      </w:pPr>
    </w:p>
    <w:p w14:paraId="68D56D53" w14:textId="77777777" w:rsidR="00132F98" w:rsidRDefault="00584E7E">
      <w:pPr>
        <w:pStyle w:val="Default"/>
        <w:rPr>
          <w:sz w:val="22"/>
          <w:szCs w:val="22"/>
          <w:u w:val="single"/>
        </w:rPr>
      </w:pPr>
      <w:r>
        <w:rPr>
          <w:i/>
          <w:iCs/>
          <w:sz w:val="22"/>
          <w:szCs w:val="22"/>
          <w:u w:val="single"/>
        </w:rPr>
        <w:t>Wpływ fenfluraminy na substraty CYP2D6</w:t>
      </w:r>
    </w:p>
    <w:p w14:paraId="68D56D54" w14:textId="77777777" w:rsidR="00132F98" w:rsidRDefault="00584E7E">
      <w:pPr>
        <w:pStyle w:val="Default"/>
        <w:rPr>
          <w:sz w:val="22"/>
          <w:szCs w:val="22"/>
        </w:rPr>
      </w:pPr>
      <w:r>
        <w:rPr>
          <w:sz w:val="22"/>
          <w:szCs w:val="22"/>
        </w:rPr>
        <w:t>W bada</w:t>
      </w:r>
      <w:r>
        <w:rPr>
          <w:sz w:val="22"/>
          <w:szCs w:val="22"/>
        </w:rPr>
        <w:t xml:space="preserve">niach </w:t>
      </w:r>
      <w:r>
        <w:rPr>
          <w:i/>
          <w:iCs/>
          <w:sz w:val="22"/>
          <w:szCs w:val="22"/>
        </w:rPr>
        <w:t>in vitro</w:t>
      </w:r>
      <w:r>
        <w:rPr>
          <w:sz w:val="22"/>
          <w:szCs w:val="22"/>
        </w:rPr>
        <w:t xml:space="preserve"> wykazano, że fenfluramina może hamować CYP2D6. Stwierdzono, że stężenie dezypraminy w stanie stacjonarnym zwiększa się około dwukrotnie podczas jednoczesnego podawania fenfluraminy.</w:t>
      </w:r>
      <w:r>
        <w:rPr>
          <w:i/>
        </w:rPr>
        <w:t xml:space="preserve"> </w:t>
      </w:r>
      <w:r>
        <w:rPr>
          <w:sz w:val="22"/>
          <w:szCs w:val="22"/>
        </w:rPr>
        <w:t>Jednoczesne podawanie fenfluraminy i substratów CYP2D6 może</w:t>
      </w:r>
      <w:r>
        <w:rPr>
          <w:sz w:val="22"/>
          <w:szCs w:val="22"/>
        </w:rPr>
        <w:t xml:space="preserve"> zwiększać ich stężenie w osoczu.</w:t>
      </w:r>
    </w:p>
    <w:p w14:paraId="68D56D55" w14:textId="77777777" w:rsidR="00132F98" w:rsidRDefault="00132F98">
      <w:pPr>
        <w:pStyle w:val="Default"/>
        <w:rPr>
          <w:sz w:val="22"/>
          <w:szCs w:val="22"/>
        </w:rPr>
      </w:pPr>
    </w:p>
    <w:p w14:paraId="68D56D56" w14:textId="77777777" w:rsidR="00132F98" w:rsidRDefault="00584E7E">
      <w:pPr>
        <w:pStyle w:val="Default"/>
        <w:rPr>
          <w:sz w:val="22"/>
          <w:szCs w:val="22"/>
          <w:u w:val="single"/>
        </w:rPr>
      </w:pPr>
      <w:bookmarkStart w:id="3" w:name="_Hlk49862258"/>
      <w:bookmarkEnd w:id="2"/>
      <w:r>
        <w:rPr>
          <w:i/>
          <w:iCs/>
          <w:sz w:val="22"/>
          <w:szCs w:val="22"/>
          <w:u w:val="single"/>
        </w:rPr>
        <w:t>Wpływ fenfluraminy na substraty CYP2B6 i CYP3A4</w:t>
      </w:r>
    </w:p>
    <w:p w14:paraId="68D56D57" w14:textId="77777777" w:rsidR="00132F98" w:rsidRDefault="00584E7E">
      <w:pPr>
        <w:pStyle w:val="Default"/>
        <w:rPr>
          <w:sz w:val="22"/>
          <w:szCs w:val="22"/>
        </w:rPr>
      </w:pPr>
      <w:r>
        <w:rPr>
          <w:sz w:val="22"/>
          <w:szCs w:val="22"/>
        </w:rPr>
        <w:t xml:space="preserve">W badaniach </w:t>
      </w:r>
      <w:r>
        <w:rPr>
          <w:i/>
          <w:iCs/>
          <w:sz w:val="22"/>
          <w:szCs w:val="22"/>
        </w:rPr>
        <w:t>in vitro</w:t>
      </w:r>
      <w:r>
        <w:rPr>
          <w:sz w:val="22"/>
          <w:szCs w:val="22"/>
        </w:rPr>
        <w:t xml:space="preserve"> wykazano, że fenfluramina może indukować CYP2B6 oraz może indukować CYP3A4 w jelitach. Jednoczesne podawanie fenfluraminy i substratów CYP2B6 lub CYP3A4 może zmniejszać ich stężenie w osoczu.</w:t>
      </w:r>
    </w:p>
    <w:bookmarkEnd w:id="3"/>
    <w:p w14:paraId="68D56D58" w14:textId="77777777" w:rsidR="00132F98" w:rsidRDefault="00132F98">
      <w:pPr>
        <w:spacing w:line="240" w:lineRule="auto"/>
      </w:pPr>
    </w:p>
    <w:p w14:paraId="68D56D59" w14:textId="77777777" w:rsidR="00132F98" w:rsidRDefault="00584E7E">
      <w:pPr>
        <w:pStyle w:val="Default"/>
        <w:keepNext/>
        <w:keepLines/>
        <w:rPr>
          <w:sz w:val="22"/>
          <w:szCs w:val="22"/>
          <w:u w:val="single"/>
        </w:rPr>
      </w:pPr>
      <w:bookmarkStart w:id="4" w:name="_Hlk49862275"/>
      <w:r>
        <w:rPr>
          <w:i/>
          <w:iCs/>
          <w:sz w:val="22"/>
          <w:szCs w:val="22"/>
          <w:u w:val="single"/>
        </w:rPr>
        <w:t>Wpływ fenfluraminy na substraty MATE1</w:t>
      </w:r>
    </w:p>
    <w:p w14:paraId="68D56D5A" w14:textId="77777777" w:rsidR="00132F98" w:rsidRDefault="00584E7E">
      <w:pPr>
        <w:pStyle w:val="Default"/>
        <w:keepNext/>
        <w:keepLines/>
        <w:rPr>
          <w:sz w:val="22"/>
          <w:szCs w:val="22"/>
        </w:rPr>
      </w:pPr>
      <w:r>
        <w:rPr>
          <w:sz w:val="22"/>
          <w:szCs w:val="22"/>
        </w:rPr>
        <w:t xml:space="preserve">W badaniach </w:t>
      </w:r>
      <w:r>
        <w:rPr>
          <w:i/>
          <w:iCs/>
          <w:sz w:val="22"/>
          <w:szCs w:val="22"/>
        </w:rPr>
        <w:t>in vitro</w:t>
      </w:r>
      <w:r>
        <w:rPr>
          <w:sz w:val="22"/>
          <w:szCs w:val="22"/>
        </w:rPr>
        <w:t xml:space="preserve"> wyk</w:t>
      </w:r>
      <w:r>
        <w:rPr>
          <w:sz w:val="22"/>
          <w:szCs w:val="22"/>
        </w:rPr>
        <w:t>azano, że norfenfluramina (główny i farmakologicznie czynny metabolit) może hamować MATE1 w znaczących klinicznie stężeniach. Jednoczesne podawanie fenfluraminy i substratów MATE1 może zwiększać ich stężenie w osoczu.</w:t>
      </w:r>
    </w:p>
    <w:bookmarkEnd w:id="4"/>
    <w:p w14:paraId="68D56D5B" w14:textId="77777777" w:rsidR="00132F98" w:rsidRDefault="00132F98">
      <w:pPr>
        <w:rPr>
          <w:noProof/>
        </w:rPr>
      </w:pPr>
    </w:p>
    <w:p w14:paraId="68D56D5C" w14:textId="77777777" w:rsidR="00132F98" w:rsidRDefault="00584E7E">
      <w:pPr>
        <w:spacing w:line="240" w:lineRule="auto"/>
        <w:ind w:left="567" w:hanging="567"/>
        <w:outlineLvl w:val="0"/>
      </w:pPr>
      <w:r>
        <w:rPr>
          <w:b/>
        </w:rPr>
        <w:t>4.6</w:t>
      </w:r>
      <w:r>
        <w:rPr>
          <w:b/>
          <w:bCs/>
        </w:rPr>
        <w:t xml:space="preserve"> </w:t>
      </w:r>
      <w:r>
        <w:rPr>
          <w:b/>
          <w:szCs w:val="22"/>
        </w:rPr>
        <w:tab/>
      </w:r>
      <w:r>
        <w:rPr>
          <w:b/>
        </w:rPr>
        <w:t>Wpływ na płodność, ciążę i lakta</w:t>
      </w:r>
      <w:r>
        <w:rPr>
          <w:b/>
        </w:rPr>
        <w:t>cję</w:t>
      </w:r>
    </w:p>
    <w:p w14:paraId="68D56D5D" w14:textId="77777777" w:rsidR="00132F98" w:rsidRDefault="00132F98">
      <w:pPr>
        <w:rPr>
          <w:noProof/>
        </w:rPr>
      </w:pPr>
    </w:p>
    <w:p w14:paraId="68D56D5E" w14:textId="77777777" w:rsidR="00132F98" w:rsidRDefault="00584E7E">
      <w:pPr>
        <w:rPr>
          <w:iCs/>
          <w:noProof/>
          <w:u w:val="single"/>
        </w:rPr>
      </w:pPr>
      <w:r>
        <w:rPr>
          <w:iCs/>
          <w:u w:val="single"/>
        </w:rPr>
        <w:t>Ciąża</w:t>
      </w:r>
    </w:p>
    <w:p w14:paraId="68D56D5F" w14:textId="77777777" w:rsidR="00132F98" w:rsidRDefault="00132F98">
      <w:pPr>
        <w:rPr>
          <w:u w:val="single"/>
        </w:rPr>
      </w:pPr>
    </w:p>
    <w:p w14:paraId="68D56D60" w14:textId="77777777" w:rsidR="00132F98" w:rsidRDefault="00584E7E">
      <w:pPr>
        <w:autoSpaceDE w:val="0"/>
        <w:autoSpaceDN w:val="0"/>
        <w:adjustRightInd w:val="0"/>
        <w:rPr>
          <w:rFonts w:eastAsia="SimSun"/>
          <w:color w:val="000000"/>
        </w:rPr>
      </w:pPr>
      <w:r>
        <w:rPr>
          <w:color w:val="000000"/>
        </w:rPr>
        <w:t>Istnieją tylko ograniczone dane (mniej niż 300 kobiet w ciąży) dotyczące stosowania fenfluraminy u kobiet w okresie ciąży.</w:t>
      </w:r>
    </w:p>
    <w:p w14:paraId="68D56D61" w14:textId="77777777" w:rsidR="00132F98" w:rsidRDefault="00132F98">
      <w:pPr>
        <w:autoSpaceDE w:val="0"/>
        <w:autoSpaceDN w:val="0"/>
        <w:adjustRightInd w:val="0"/>
        <w:rPr>
          <w:rFonts w:eastAsia="SimSun"/>
          <w:color w:val="000000"/>
          <w:lang w:eastAsia="zh-CN"/>
        </w:rPr>
      </w:pPr>
    </w:p>
    <w:p w14:paraId="68D56D62" w14:textId="77777777" w:rsidR="00132F98" w:rsidRDefault="00584E7E">
      <w:pPr>
        <w:autoSpaceDE w:val="0"/>
        <w:autoSpaceDN w:val="0"/>
        <w:adjustRightInd w:val="0"/>
        <w:rPr>
          <w:rFonts w:eastAsia="SimSun"/>
          <w:color w:val="000000"/>
        </w:rPr>
      </w:pPr>
      <w:r>
        <w:rPr>
          <w:color w:val="000000"/>
        </w:rPr>
        <w:t>Badania na zwierzętach nie wykazały bezpośredniego lub pośredniego szkodliwego wpływu na reprodukcję w przypadku braku t</w:t>
      </w:r>
      <w:r>
        <w:rPr>
          <w:color w:val="000000"/>
        </w:rPr>
        <w:t>oksyczności dla ojca lub matki (patrz punkt 5.3).</w:t>
      </w:r>
    </w:p>
    <w:p w14:paraId="68D56D63" w14:textId="77777777" w:rsidR="00132F98" w:rsidRDefault="00132F98">
      <w:pPr>
        <w:autoSpaceDE w:val="0"/>
        <w:autoSpaceDN w:val="0"/>
        <w:adjustRightInd w:val="0"/>
        <w:rPr>
          <w:rFonts w:eastAsia="SimSun"/>
          <w:color w:val="000000"/>
          <w:lang w:eastAsia="zh-CN"/>
        </w:rPr>
      </w:pPr>
    </w:p>
    <w:p w14:paraId="68D56D64" w14:textId="77777777" w:rsidR="00132F98" w:rsidRDefault="00584E7E">
      <w:pPr>
        <w:autoSpaceDE w:val="0"/>
        <w:autoSpaceDN w:val="0"/>
        <w:adjustRightInd w:val="0"/>
        <w:rPr>
          <w:rFonts w:eastAsia="SimSun"/>
          <w:color w:val="000000"/>
        </w:rPr>
      </w:pPr>
      <w:r>
        <w:t>W celu zachowania ostrożności zaleca się unikanie stosowania produktu Fintepla w okresie ciąży.</w:t>
      </w:r>
    </w:p>
    <w:p w14:paraId="68D56D65" w14:textId="77777777" w:rsidR="00132F98" w:rsidRDefault="00132F98">
      <w:pPr>
        <w:autoSpaceDE w:val="0"/>
        <w:autoSpaceDN w:val="0"/>
        <w:adjustRightInd w:val="0"/>
        <w:rPr>
          <w:rFonts w:eastAsia="SimSun"/>
          <w:color w:val="000000"/>
          <w:lang w:eastAsia="zh-CN"/>
        </w:rPr>
      </w:pPr>
    </w:p>
    <w:p w14:paraId="68D56D66" w14:textId="77777777" w:rsidR="00132F98" w:rsidRDefault="00584E7E">
      <w:pPr>
        <w:autoSpaceDE w:val="0"/>
        <w:autoSpaceDN w:val="0"/>
        <w:adjustRightInd w:val="0"/>
        <w:rPr>
          <w:iCs/>
          <w:u w:val="single"/>
        </w:rPr>
      </w:pPr>
      <w:r>
        <w:rPr>
          <w:iCs/>
          <w:u w:val="single"/>
        </w:rPr>
        <w:t>Karmienie piersią</w:t>
      </w:r>
    </w:p>
    <w:p w14:paraId="68D56D67" w14:textId="77777777" w:rsidR="00132F98" w:rsidRDefault="00132F98">
      <w:pPr>
        <w:rPr>
          <w:color w:val="000000"/>
          <w:shd w:val="clear" w:color="auto" w:fill="FFFFFF"/>
        </w:rPr>
      </w:pPr>
    </w:p>
    <w:p w14:paraId="68D56D68" w14:textId="77777777" w:rsidR="00132F98" w:rsidRDefault="00584E7E">
      <w:pPr>
        <w:rPr>
          <w:shd w:val="clear" w:color="auto" w:fill="FFFFFF"/>
        </w:rPr>
      </w:pPr>
      <w:r>
        <w:rPr>
          <w:shd w:val="clear" w:color="auto" w:fill="FFFFFF"/>
        </w:rPr>
        <w:t>Nie wiadomo, czy fenfluramina/metabolity przenikają do mleka ludzkiego.</w:t>
      </w:r>
    </w:p>
    <w:p w14:paraId="68D56D69" w14:textId="77777777" w:rsidR="00132F98" w:rsidRDefault="00584E7E">
      <w:pPr>
        <w:rPr>
          <w:shd w:val="clear" w:color="auto" w:fill="FFFFFF"/>
        </w:rPr>
      </w:pPr>
      <w:r>
        <w:rPr>
          <w:szCs w:val="22"/>
        </w:rPr>
        <w:t xml:space="preserve">Na </w:t>
      </w:r>
      <w:r>
        <w:rPr>
          <w:szCs w:val="22"/>
        </w:rPr>
        <w:t>podstawie dostępnych danych farmakokinetycznych</w:t>
      </w:r>
      <w:r>
        <w:rPr>
          <w:shd w:val="clear" w:color="auto" w:fill="FFFFFF"/>
        </w:rPr>
        <w:t xml:space="preserve"> dotyczących zwierząt </w:t>
      </w:r>
      <w:r>
        <w:rPr>
          <w:szCs w:val="22"/>
        </w:rPr>
        <w:t>stwierdzono</w:t>
      </w:r>
      <w:r>
        <w:rPr>
          <w:shd w:val="clear" w:color="auto" w:fill="FFFFFF"/>
        </w:rPr>
        <w:t xml:space="preserve"> przenikanie fenfluraminy/metabolitów do mleka (patrz punkt 5.3).</w:t>
      </w:r>
    </w:p>
    <w:p w14:paraId="68D56D6A" w14:textId="77777777" w:rsidR="00132F98" w:rsidRDefault="00132F98">
      <w:pPr>
        <w:rPr>
          <w:shd w:val="clear" w:color="auto" w:fill="FFFFFF"/>
        </w:rPr>
      </w:pPr>
    </w:p>
    <w:p w14:paraId="68D56D6B" w14:textId="77777777" w:rsidR="00132F98" w:rsidRDefault="00584E7E">
      <w:pPr>
        <w:rPr>
          <w:shd w:val="clear" w:color="auto" w:fill="FFFFFF"/>
        </w:rPr>
      </w:pPr>
      <w:r>
        <w:rPr>
          <w:shd w:val="clear" w:color="auto" w:fill="FFFFFF"/>
        </w:rPr>
        <w:lastRenderedPageBreak/>
        <w:t>Nie można wykluczyć zagrożenia dla dzieci karmionych piersią.</w:t>
      </w:r>
    </w:p>
    <w:p w14:paraId="68D56D6C" w14:textId="77777777" w:rsidR="00132F98" w:rsidRDefault="00132F98">
      <w:pPr>
        <w:rPr>
          <w:shd w:val="clear" w:color="auto" w:fill="FFFFFF"/>
        </w:rPr>
      </w:pPr>
    </w:p>
    <w:p w14:paraId="68D56D6D" w14:textId="77777777" w:rsidR="00132F98" w:rsidRDefault="00584E7E">
      <w:pPr>
        <w:rPr>
          <w:shd w:val="clear" w:color="auto" w:fill="FFFFFF"/>
        </w:rPr>
      </w:pPr>
      <w:r>
        <w:rPr>
          <w:shd w:val="clear" w:color="auto" w:fill="FFFFFF"/>
        </w:rPr>
        <w:t xml:space="preserve">Należy podjąć decyzję, czy przerwać karmienie </w:t>
      </w:r>
      <w:r>
        <w:rPr>
          <w:shd w:val="clear" w:color="auto" w:fill="FFFFFF"/>
        </w:rPr>
        <w:t xml:space="preserve">piersią, czy przerwać </w:t>
      </w:r>
      <w:r>
        <w:rPr>
          <w:szCs w:val="22"/>
        </w:rPr>
        <w:t>podawanie produktu</w:t>
      </w:r>
      <w:r>
        <w:rPr>
          <w:shd w:val="clear" w:color="auto" w:fill="FFFFFF"/>
        </w:rPr>
        <w:t xml:space="preserve"> Fintepla, biorąc pod uwagę korzyści z karmienia piersią dla dziecka i korzyści z leczenia dla matki.</w:t>
      </w:r>
    </w:p>
    <w:p w14:paraId="68D56D6E" w14:textId="77777777" w:rsidR="00132F98" w:rsidRDefault="00132F98">
      <w:pPr>
        <w:rPr>
          <w:shd w:val="clear" w:color="auto" w:fill="FFFFFF"/>
        </w:rPr>
      </w:pPr>
    </w:p>
    <w:p w14:paraId="68D56D6F" w14:textId="77777777" w:rsidR="00132F98" w:rsidRDefault="00584E7E">
      <w:pPr>
        <w:rPr>
          <w:u w:val="single"/>
        </w:rPr>
      </w:pPr>
      <w:r>
        <w:rPr>
          <w:u w:val="single"/>
        </w:rPr>
        <w:t>Płodność</w:t>
      </w:r>
    </w:p>
    <w:p w14:paraId="68D56D70" w14:textId="77777777" w:rsidR="00132F98" w:rsidRDefault="00132F98">
      <w:pPr>
        <w:rPr>
          <w:noProof/>
          <w:u w:val="single"/>
        </w:rPr>
      </w:pPr>
    </w:p>
    <w:p w14:paraId="68D56D71" w14:textId="77777777" w:rsidR="00132F98" w:rsidRDefault="00584E7E">
      <w:pPr>
        <w:rPr>
          <w:color w:val="000000"/>
          <w:shd w:val="clear" w:color="auto" w:fill="FFFFFF"/>
        </w:rPr>
      </w:pPr>
      <w:r>
        <w:rPr>
          <w:color w:val="000000" w:themeColor="text1"/>
        </w:rPr>
        <w:t xml:space="preserve">Nie zaobserwowano wpływu fenfluraminy w dawkach klinicznych do 104 mg na dobę na płodność ludzi. </w:t>
      </w:r>
      <w:r>
        <w:rPr>
          <w:color w:val="000000" w:themeColor="text1"/>
        </w:rPr>
        <w:t>Badania na zwierzętach sugerują jednak, że produkt Fintepla może wpływać na płodność kobiet (patrz punkt 5.3).</w:t>
      </w:r>
    </w:p>
    <w:p w14:paraId="68D56D72" w14:textId="77777777" w:rsidR="00132F98" w:rsidRDefault="00132F98">
      <w:pPr>
        <w:spacing w:line="240" w:lineRule="auto"/>
        <w:rPr>
          <w:i/>
          <w:noProof/>
          <w:szCs w:val="22"/>
        </w:rPr>
      </w:pPr>
    </w:p>
    <w:p w14:paraId="68D56D73" w14:textId="77777777" w:rsidR="00132F98" w:rsidRDefault="00584E7E">
      <w:pPr>
        <w:spacing w:line="240" w:lineRule="auto"/>
        <w:ind w:left="567" w:hanging="567"/>
        <w:outlineLvl w:val="0"/>
        <w:rPr>
          <w:noProof/>
          <w:szCs w:val="22"/>
        </w:rPr>
      </w:pPr>
      <w:r>
        <w:rPr>
          <w:b/>
          <w:szCs w:val="22"/>
        </w:rPr>
        <w:t>4.7</w:t>
      </w:r>
      <w:r>
        <w:rPr>
          <w:b/>
          <w:szCs w:val="22"/>
        </w:rPr>
        <w:tab/>
        <w:t>Wpływ na zdolność prowadzenia pojazdów i obsługiwania maszyn</w:t>
      </w:r>
    </w:p>
    <w:p w14:paraId="68D56D74" w14:textId="77777777" w:rsidR="00132F98" w:rsidRDefault="00132F98">
      <w:pPr>
        <w:spacing w:line="240" w:lineRule="auto"/>
        <w:rPr>
          <w:noProof/>
          <w:szCs w:val="22"/>
        </w:rPr>
      </w:pPr>
    </w:p>
    <w:p w14:paraId="68D56D75" w14:textId="77777777" w:rsidR="00132F98" w:rsidRDefault="00584E7E">
      <w:pPr>
        <w:spacing w:line="240" w:lineRule="auto"/>
      </w:pPr>
      <w:r>
        <w:t xml:space="preserve">Produkt Fintepla wywiera umiarkowany wpływ na zdolność prowadzenia pojazdów i </w:t>
      </w:r>
      <w:r>
        <w:t>obsługiwania maszyn, ponieważ może wywoływać senność i zmęczenie. Należy przestrzec pacjentów, aby nie prowadzili pojazdów ani nie obsługiwali maszyn, dopóki nie będą w stanie stwierdzić, czy produkt ma negatywny wpływ na ich zdolność wykonywania tych czyn</w:t>
      </w:r>
      <w:r>
        <w:t>ności (patrz punkt 4.8).</w:t>
      </w:r>
    </w:p>
    <w:p w14:paraId="68D56D76" w14:textId="77777777" w:rsidR="00132F98" w:rsidRDefault="00132F98">
      <w:pPr>
        <w:spacing w:line="240" w:lineRule="auto"/>
        <w:rPr>
          <w:noProof/>
          <w:szCs w:val="22"/>
        </w:rPr>
      </w:pPr>
    </w:p>
    <w:p w14:paraId="68D56D77" w14:textId="77777777" w:rsidR="00132F98" w:rsidRDefault="00584E7E">
      <w:pPr>
        <w:spacing w:line="240" w:lineRule="auto"/>
        <w:outlineLvl w:val="0"/>
        <w:rPr>
          <w:b/>
          <w:noProof/>
          <w:szCs w:val="22"/>
        </w:rPr>
      </w:pPr>
      <w:r>
        <w:rPr>
          <w:b/>
          <w:szCs w:val="22"/>
        </w:rPr>
        <w:t>4.8</w:t>
      </w:r>
      <w:r>
        <w:rPr>
          <w:b/>
          <w:szCs w:val="22"/>
        </w:rPr>
        <w:tab/>
        <w:t>Działania niepożądane</w:t>
      </w:r>
    </w:p>
    <w:p w14:paraId="68D56D78" w14:textId="77777777" w:rsidR="00132F98" w:rsidRDefault="00132F98">
      <w:pPr>
        <w:autoSpaceDE w:val="0"/>
        <w:autoSpaceDN w:val="0"/>
        <w:adjustRightInd w:val="0"/>
        <w:spacing w:line="240" w:lineRule="auto"/>
        <w:jc w:val="both"/>
        <w:rPr>
          <w:noProof/>
          <w:szCs w:val="22"/>
        </w:rPr>
      </w:pPr>
    </w:p>
    <w:p w14:paraId="68D56D79" w14:textId="77777777" w:rsidR="00132F98" w:rsidRDefault="00584E7E">
      <w:pPr>
        <w:autoSpaceDE w:val="0"/>
        <w:autoSpaceDN w:val="0"/>
        <w:adjustRightInd w:val="0"/>
        <w:rPr>
          <w:u w:val="single"/>
        </w:rPr>
      </w:pPr>
      <w:r>
        <w:rPr>
          <w:u w:val="single"/>
        </w:rPr>
        <w:t>Podsumowanie profilu bezpieczeństwa dla zespołu Dravet</w:t>
      </w:r>
    </w:p>
    <w:p w14:paraId="68D56D7A" w14:textId="77777777" w:rsidR="00132F98" w:rsidRDefault="00132F98">
      <w:pPr>
        <w:autoSpaceDE w:val="0"/>
        <w:autoSpaceDN w:val="0"/>
        <w:adjustRightInd w:val="0"/>
      </w:pPr>
    </w:p>
    <w:p w14:paraId="68D56D7B" w14:textId="77777777" w:rsidR="00132F98" w:rsidRDefault="00584E7E">
      <w:pPr>
        <w:autoSpaceDE w:val="0"/>
        <w:autoSpaceDN w:val="0"/>
        <w:adjustRightInd w:val="0"/>
      </w:pPr>
      <w:r>
        <w:t xml:space="preserve">Najczęściej zgłaszanymi działaniami niepożądanymi są: zmniejszone łaknienie (34,7%), biegunka (19,9%), zakażenie górnych dróg oddechowych (18,1%), </w:t>
      </w:r>
      <w:r>
        <w:t>nieprawidłowości w wynikach badania echokardiograficznego* (18,1%), zmęczenie (18,1%), gorączka (17,6%), zmniejszenie stężenia glukozy we krwi (14,4%) oraz senność (13,0%)</w:t>
      </w:r>
    </w:p>
    <w:p w14:paraId="68D56D7C" w14:textId="77777777" w:rsidR="00132F98" w:rsidRDefault="00132F98">
      <w:pPr>
        <w:autoSpaceDE w:val="0"/>
        <w:autoSpaceDN w:val="0"/>
        <w:adjustRightInd w:val="0"/>
      </w:pPr>
    </w:p>
    <w:p w14:paraId="68D56D7D" w14:textId="77777777" w:rsidR="00132F98" w:rsidRDefault="00584E7E">
      <w:pPr>
        <w:autoSpaceDE w:val="0"/>
        <w:autoSpaceDN w:val="0"/>
        <w:adjustRightInd w:val="0"/>
        <w:rPr>
          <w:i/>
          <w:iCs/>
        </w:rPr>
      </w:pPr>
      <w:r>
        <w:t xml:space="preserve">* </w:t>
      </w:r>
      <w:r>
        <w:rPr>
          <w:i/>
          <w:iCs/>
        </w:rPr>
        <w:t>Obejmowały śladową i łagodną niedomykalność zastawki mitralnej oraz śladową niedo</w:t>
      </w:r>
      <w:r>
        <w:rPr>
          <w:i/>
          <w:iCs/>
        </w:rPr>
        <w:t>mykalność zastawki aortalnej, które są uznawane za fizjologiczne.</w:t>
      </w:r>
    </w:p>
    <w:p w14:paraId="68D56D7E" w14:textId="77777777" w:rsidR="00132F98" w:rsidRDefault="00132F98">
      <w:pPr>
        <w:autoSpaceDE w:val="0"/>
        <w:autoSpaceDN w:val="0"/>
        <w:adjustRightInd w:val="0"/>
      </w:pPr>
    </w:p>
    <w:p w14:paraId="68D56D7F" w14:textId="77777777" w:rsidR="00132F98" w:rsidRDefault="00584E7E">
      <w:pPr>
        <w:autoSpaceDE w:val="0"/>
        <w:autoSpaceDN w:val="0"/>
        <w:adjustRightInd w:val="0"/>
        <w:rPr>
          <w:u w:val="single"/>
        </w:rPr>
      </w:pPr>
      <w:r>
        <w:rPr>
          <w:u w:val="single"/>
        </w:rPr>
        <w:t>Podsumowanie profilu bezpieczeństwa dla zespołu Lennoxa-Gastauta</w:t>
      </w:r>
    </w:p>
    <w:p w14:paraId="68D56D80" w14:textId="77777777" w:rsidR="00132F98" w:rsidRDefault="00132F98">
      <w:pPr>
        <w:autoSpaceDE w:val="0"/>
        <w:autoSpaceDN w:val="0"/>
        <w:adjustRightInd w:val="0"/>
      </w:pPr>
    </w:p>
    <w:p w14:paraId="68D56D81" w14:textId="77777777" w:rsidR="00132F98" w:rsidRDefault="00584E7E">
      <w:pPr>
        <w:autoSpaceDE w:val="0"/>
        <w:autoSpaceDN w:val="0"/>
        <w:adjustRightInd w:val="0"/>
      </w:pPr>
      <w:r>
        <w:t>Najczęściej zgłaszanymi działaniami niepożądanymi są: zmniejszone łaknienie (27,8%), zmęczenie (18,8%), zakażenie górnych d</w:t>
      </w:r>
      <w:r>
        <w:t>róg oddechowych (15,9%), senność</w:t>
      </w:r>
      <w:r>
        <w:rPr>
          <w:rStyle w:val="CommentReference"/>
        </w:rPr>
        <w:t xml:space="preserve"> </w:t>
      </w:r>
      <w:r>
        <w:t>(13,6%), biegunka (11,9%) i wymioty (10,8%).</w:t>
      </w:r>
    </w:p>
    <w:p w14:paraId="68D56D82" w14:textId="77777777" w:rsidR="00132F98" w:rsidRDefault="00132F98">
      <w:pPr>
        <w:autoSpaceDE w:val="0"/>
        <w:autoSpaceDN w:val="0"/>
        <w:adjustRightInd w:val="0"/>
      </w:pPr>
    </w:p>
    <w:p w14:paraId="68D56D83" w14:textId="77777777" w:rsidR="00132F98" w:rsidRDefault="00584E7E">
      <w:pPr>
        <w:autoSpaceDE w:val="0"/>
        <w:autoSpaceDN w:val="0"/>
        <w:adjustRightInd w:val="0"/>
        <w:rPr>
          <w:iCs/>
          <w:u w:val="single"/>
        </w:rPr>
      </w:pPr>
      <w:r>
        <w:rPr>
          <w:iCs/>
          <w:u w:val="single"/>
        </w:rPr>
        <w:t>Tabelaryczny wykaz działań niepożądanych</w:t>
      </w:r>
    </w:p>
    <w:p w14:paraId="68D56D84" w14:textId="77777777" w:rsidR="00132F98" w:rsidRDefault="00132F98">
      <w:pPr>
        <w:autoSpaceDE w:val="0"/>
        <w:autoSpaceDN w:val="0"/>
        <w:adjustRightInd w:val="0"/>
      </w:pPr>
    </w:p>
    <w:p w14:paraId="68D56D85" w14:textId="77777777" w:rsidR="00132F98" w:rsidRDefault="00584E7E">
      <w:pPr>
        <w:autoSpaceDE w:val="0"/>
        <w:autoSpaceDN w:val="0"/>
        <w:adjustRightInd w:val="0"/>
      </w:pPr>
      <w:r>
        <w:t xml:space="preserve">Działania niepożądane fenfluraminy zgłaszane w badaniach klinicznych kontrolowanych placebo są wymienione w poniższych tabelach </w:t>
      </w:r>
      <w:r>
        <w:t>według klasyfikacji układów i narządów oraz częstości występowania. Częstość występowania zdefiniowano następująco: bardzo często (≥1/10) albo często (≥1/100 do &lt;1/10).</w:t>
      </w:r>
    </w:p>
    <w:p w14:paraId="68D56D86" w14:textId="77777777" w:rsidR="00132F98" w:rsidRDefault="00132F98">
      <w:pPr>
        <w:autoSpaceDE w:val="0"/>
        <w:autoSpaceDN w:val="0"/>
        <w:adjustRightInd w:val="0"/>
      </w:pPr>
    </w:p>
    <w:p w14:paraId="68D56D87" w14:textId="77777777" w:rsidR="00132F98" w:rsidRDefault="00584E7E">
      <w:pPr>
        <w:rPr>
          <w:szCs w:val="22"/>
        </w:rPr>
      </w:pPr>
      <w:r>
        <w:rPr>
          <w:b/>
          <w:bCs/>
          <w:szCs w:val="22"/>
        </w:rPr>
        <w:t>Tabela 3. Działania niepożądane w przypadku zespołu Dravet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132F98" w14:paraId="68D56D8B" w14:textId="77777777">
        <w:tc>
          <w:tcPr>
            <w:tcW w:w="3024" w:type="dxa"/>
            <w:tcBorders>
              <w:top w:val="single" w:sz="4" w:space="0" w:color="auto"/>
              <w:left w:val="single" w:sz="4" w:space="0" w:color="auto"/>
              <w:bottom w:val="single" w:sz="4" w:space="0" w:color="auto"/>
              <w:right w:val="single" w:sz="4" w:space="0" w:color="auto"/>
            </w:tcBorders>
          </w:tcPr>
          <w:p w14:paraId="68D56D88" w14:textId="77777777" w:rsidR="00132F98" w:rsidRDefault="00584E7E">
            <w:pPr>
              <w:rPr>
                <w:b/>
                <w:bCs/>
                <w:color w:val="000000"/>
                <w:szCs w:val="22"/>
              </w:rPr>
            </w:pPr>
            <w:r>
              <w:rPr>
                <w:b/>
                <w:bCs/>
                <w:color w:val="000000"/>
                <w:szCs w:val="22"/>
              </w:rPr>
              <w:t xml:space="preserve">Klasyfikacja układów i narządów MedDRA </w:t>
            </w:r>
          </w:p>
        </w:tc>
        <w:tc>
          <w:tcPr>
            <w:tcW w:w="3024" w:type="dxa"/>
            <w:tcBorders>
              <w:top w:val="single" w:sz="4" w:space="0" w:color="auto"/>
              <w:left w:val="single" w:sz="4" w:space="0" w:color="auto"/>
              <w:bottom w:val="single" w:sz="4" w:space="0" w:color="auto"/>
              <w:right w:val="single" w:sz="4" w:space="0" w:color="auto"/>
            </w:tcBorders>
          </w:tcPr>
          <w:p w14:paraId="68D56D89" w14:textId="77777777" w:rsidR="00132F98" w:rsidRDefault="00584E7E">
            <w:pPr>
              <w:rPr>
                <w:b/>
                <w:bCs/>
              </w:rPr>
            </w:pPr>
            <w:r>
              <w:rPr>
                <w:b/>
                <w:bCs/>
              </w:rPr>
              <w:t xml:space="preserve">Bardzo często </w:t>
            </w:r>
          </w:p>
        </w:tc>
        <w:tc>
          <w:tcPr>
            <w:tcW w:w="3024" w:type="dxa"/>
            <w:tcBorders>
              <w:top w:val="single" w:sz="4" w:space="0" w:color="auto"/>
              <w:left w:val="single" w:sz="4" w:space="0" w:color="auto"/>
              <w:bottom w:val="single" w:sz="4" w:space="0" w:color="auto"/>
              <w:right w:val="single" w:sz="4" w:space="0" w:color="auto"/>
            </w:tcBorders>
          </w:tcPr>
          <w:p w14:paraId="68D56D8A" w14:textId="77777777" w:rsidR="00132F98" w:rsidRDefault="00584E7E">
            <w:pPr>
              <w:rPr>
                <w:b/>
                <w:bCs/>
                <w:color w:val="000000"/>
                <w:szCs w:val="22"/>
              </w:rPr>
            </w:pPr>
            <w:r>
              <w:rPr>
                <w:b/>
                <w:bCs/>
                <w:color w:val="000000"/>
                <w:szCs w:val="22"/>
              </w:rPr>
              <w:t xml:space="preserve">Często </w:t>
            </w:r>
          </w:p>
        </w:tc>
      </w:tr>
      <w:tr w:rsidR="00132F98" w14:paraId="68D56D90" w14:textId="77777777">
        <w:tc>
          <w:tcPr>
            <w:tcW w:w="3024" w:type="dxa"/>
            <w:tcBorders>
              <w:top w:val="single" w:sz="4" w:space="0" w:color="auto"/>
              <w:left w:val="single" w:sz="4" w:space="0" w:color="auto"/>
              <w:bottom w:val="single" w:sz="4" w:space="0" w:color="auto"/>
              <w:right w:val="single" w:sz="4" w:space="0" w:color="auto"/>
            </w:tcBorders>
          </w:tcPr>
          <w:p w14:paraId="68D56D8C" w14:textId="77777777" w:rsidR="00132F98" w:rsidRDefault="00584E7E">
            <w:pPr>
              <w:rPr>
                <w:color w:val="000000"/>
                <w:szCs w:val="22"/>
              </w:rPr>
            </w:pPr>
            <w:r>
              <w:rPr>
                <w:color w:val="000000"/>
                <w:szCs w:val="22"/>
              </w:rPr>
              <w:t xml:space="preserve">Zakażenia i zarażenia pasożytnicze </w:t>
            </w:r>
          </w:p>
        </w:tc>
        <w:tc>
          <w:tcPr>
            <w:tcW w:w="3024" w:type="dxa"/>
            <w:tcBorders>
              <w:top w:val="single" w:sz="4" w:space="0" w:color="auto"/>
              <w:left w:val="single" w:sz="4" w:space="0" w:color="auto"/>
              <w:bottom w:val="single" w:sz="4" w:space="0" w:color="auto"/>
              <w:right w:val="single" w:sz="4" w:space="0" w:color="auto"/>
            </w:tcBorders>
          </w:tcPr>
          <w:p w14:paraId="68D56D8D" w14:textId="77777777" w:rsidR="00132F98" w:rsidRDefault="00584E7E">
            <w:r>
              <w:t>Zakażenie górnych dróg oddechowych</w:t>
            </w:r>
          </w:p>
        </w:tc>
        <w:tc>
          <w:tcPr>
            <w:tcW w:w="3024" w:type="dxa"/>
            <w:tcBorders>
              <w:top w:val="single" w:sz="4" w:space="0" w:color="auto"/>
              <w:left w:val="single" w:sz="4" w:space="0" w:color="auto"/>
              <w:bottom w:val="single" w:sz="4" w:space="0" w:color="auto"/>
              <w:right w:val="single" w:sz="4" w:space="0" w:color="auto"/>
            </w:tcBorders>
          </w:tcPr>
          <w:p w14:paraId="68D56D8E" w14:textId="77777777" w:rsidR="00132F98" w:rsidRDefault="00584E7E">
            <w:pPr>
              <w:rPr>
                <w:color w:val="000000"/>
                <w:szCs w:val="22"/>
              </w:rPr>
            </w:pPr>
            <w:r>
              <w:rPr>
                <w:color w:val="000000"/>
                <w:szCs w:val="22"/>
              </w:rPr>
              <w:t>Zapalenie oskrzeli</w:t>
            </w:r>
          </w:p>
          <w:p w14:paraId="68D56D8F" w14:textId="77777777" w:rsidR="00132F98" w:rsidRDefault="00132F98">
            <w:pPr>
              <w:rPr>
                <w:color w:val="000000"/>
                <w:szCs w:val="22"/>
              </w:rPr>
            </w:pPr>
          </w:p>
        </w:tc>
      </w:tr>
      <w:tr w:rsidR="00132F98" w14:paraId="68D56D94" w14:textId="77777777">
        <w:tc>
          <w:tcPr>
            <w:tcW w:w="3024" w:type="dxa"/>
            <w:tcBorders>
              <w:top w:val="single" w:sz="4" w:space="0" w:color="auto"/>
              <w:left w:val="single" w:sz="4" w:space="0" w:color="auto"/>
              <w:bottom w:val="single" w:sz="4" w:space="0" w:color="auto"/>
              <w:right w:val="single" w:sz="4" w:space="0" w:color="auto"/>
            </w:tcBorders>
          </w:tcPr>
          <w:p w14:paraId="68D56D91" w14:textId="77777777" w:rsidR="00132F98" w:rsidRDefault="00584E7E">
            <w:pPr>
              <w:rPr>
                <w:color w:val="000000"/>
                <w:szCs w:val="22"/>
              </w:rPr>
            </w:pPr>
            <w:r>
              <w:rPr>
                <w:color w:val="000000"/>
                <w:szCs w:val="22"/>
              </w:rPr>
              <w:t xml:space="preserve">Zaburzenia metabolizmu i odżywiania </w:t>
            </w:r>
          </w:p>
        </w:tc>
        <w:tc>
          <w:tcPr>
            <w:tcW w:w="3024" w:type="dxa"/>
            <w:tcBorders>
              <w:top w:val="single" w:sz="4" w:space="0" w:color="auto"/>
              <w:left w:val="single" w:sz="4" w:space="0" w:color="auto"/>
              <w:bottom w:val="single" w:sz="4" w:space="0" w:color="auto"/>
              <w:right w:val="single" w:sz="4" w:space="0" w:color="auto"/>
            </w:tcBorders>
          </w:tcPr>
          <w:p w14:paraId="68D56D92" w14:textId="77777777" w:rsidR="00132F98" w:rsidRDefault="00584E7E">
            <w:r>
              <w:t xml:space="preserve">Zmniejszone łaknienie </w:t>
            </w:r>
          </w:p>
        </w:tc>
        <w:tc>
          <w:tcPr>
            <w:tcW w:w="3024" w:type="dxa"/>
            <w:tcBorders>
              <w:top w:val="single" w:sz="4" w:space="0" w:color="auto"/>
              <w:left w:val="single" w:sz="4" w:space="0" w:color="auto"/>
              <w:bottom w:val="single" w:sz="4" w:space="0" w:color="auto"/>
              <w:right w:val="single" w:sz="4" w:space="0" w:color="auto"/>
            </w:tcBorders>
          </w:tcPr>
          <w:p w14:paraId="68D56D93" w14:textId="77777777" w:rsidR="00132F98" w:rsidRDefault="00584E7E">
            <w:pPr>
              <w:rPr>
                <w:color w:val="000000"/>
                <w:szCs w:val="22"/>
              </w:rPr>
            </w:pPr>
            <w:r>
              <w:rPr>
                <w:color w:val="000000"/>
                <w:szCs w:val="22"/>
              </w:rPr>
              <w:t xml:space="preserve"> </w:t>
            </w:r>
          </w:p>
        </w:tc>
      </w:tr>
      <w:tr w:rsidR="00132F98" w14:paraId="68D56D9C" w14:textId="77777777">
        <w:tc>
          <w:tcPr>
            <w:tcW w:w="3024" w:type="dxa"/>
            <w:tcBorders>
              <w:top w:val="single" w:sz="4" w:space="0" w:color="auto"/>
              <w:left w:val="single" w:sz="4" w:space="0" w:color="auto"/>
              <w:bottom w:val="single" w:sz="4" w:space="0" w:color="auto"/>
              <w:right w:val="single" w:sz="4" w:space="0" w:color="auto"/>
            </w:tcBorders>
          </w:tcPr>
          <w:p w14:paraId="68D56D95" w14:textId="77777777" w:rsidR="00132F98" w:rsidRDefault="00584E7E">
            <w:pPr>
              <w:rPr>
                <w:color w:val="000000"/>
                <w:szCs w:val="22"/>
              </w:rPr>
            </w:pPr>
            <w:r>
              <w:rPr>
                <w:color w:val="000000"/>
                <w:szCs w:val="22"/>
              </w:rPr>
              <w:t>Zaburzenia psychiczne</w:t>
            </w:r>
          </w:p>
        </w:tc>
        <w:tc>
          <w:tcPr>
            <w:tcW w:w="3024" w:type="dxa"/>
            <w:tcBorders>
              <w:top w:val="single" w:sz="4" w:space="0" w:color="auto"/>
              <w:left w:val="single" w:sz="4" w:space="0" w:color="auto"/>
              <w:bottom w:val="single" w:sz="4" w:space="0" w:color="auto"/>
              <w:right w:val="single" w:sz="4" w:space="0" w:color="auto"/>
            </w:tcBorders>
          </w:tcPr>
          <w:p w14:paraId="68D56D96" w14:textId="77777777" w:rsidR="00132F98" w:rsidRDefault="00132F98"/>
        </w:tc>
        <w:tc>
          <w:tcPr>
            <w:tcW w:w="3024" w:type="dxa"/>
            <w:tcBorders>
              <w:top w:val="single" w:sz="4" w:space="0" w:color="auto"/>
              <w:left w:val="single" w:sz="4" w:space="0" w:color="auto"/>
              <w:bottom w:val="single" w:sz="4" w:space="0" w:color="auto"/>
              <w:right w:val="single" w:sz="4" w:space="0" w:color="auto"/>
            </w:tcBorders>
          </w:tcPr>
          <w:p w14:paraId="68D56D97" w14:textId="77777777" w:rsidR="00132F98" w:rsidRDefault="00584E7E">
            <w:pPr>
              <w:rPr>
                <w:color w:val="000000"/>
                <w:szCs w:val="22"/>
              </w:rPr>
            </w:pPr>
            <w:r>
              <w:rPr>
                <w:color w:val="000000"/>
                <w:szCs w:val="22"/>
              </w:rPr>
              <w:t>Nietypowe zach</w:t>
            </w:r>
            <w:r>
              <w:rPr>
                <w:color w:val="000000"/>
                <w:szCs w:val="22"/>
              </w:rPr>
              <w:t>owania</w:t>
            </w:r>
          </w:p>
          <w:p w14:paraId="68D56D98" w14:textId="77777777" w:rsidR="00132F98" w:rsidRDefault="00584E7E">
            <w:pPr>
              <w:rPr>
                <w:color w:val="000000"/>
                <w:szCs w:val="22"/>
              </w:rPr>
            </w:pPr>
            <w:r>
              <w:rPr>
                <w:color w:val="000000"/>
                <w:szCs w:val="22"/>
              </w:rPr>
              <w:t>Agresja</w:t>
            </w:r>
          </w:p>
          <w:p w14:paraId="68D56D99" w14:textId="77777777" w:rsidR="00132F98" w:rsidRDefault="00584E7E">
            <w:pPr>
              <w:rPr>
                <w:color w:val="000000"/>
                <w:szCs w:val="22"/>
              </w:rPr>
            </w:pPr>
            <w:r>
              <w:rPr>
                <w:color w:val="000000"/>
                <w:szCs w:val="22"/>
              </w:rPr>
              <w:t>Pobudzenie</w:t>
            </w:r>
          </w:p>
          <w:p w14:paraId="68D56D9A" w14:textId="77777777" w:rsidR="00132F98" w:rsidRDefault="00584E7E">
            <w:pPr>
              <w:rPr>
                <w:color w:val="000000"/>
                <w:szCs w:val="22"/>
              </w:rPr>
            </w:pPr>
            <w:r>
              <w:rPr>
                <w:color w:val="000000"/>
                <w:szCs w:val="22"/>
              </w:rPr>
              <w:t>Bezsenność</w:t>
            </w:r>
          </w:p>
          <w:p w14:paraId="68D56D9B" w14:textId="77777777" w:rsidR="00132F98" w:rsidRDefault="00584E7E">
            <w:pPr>
              <w:rPr>
                <w:color w:val="000000"/>
                <w:szCs w:val="22"/>
              </w:rPr>
            </w:pPr>
            <w:r>
              <w:rPr>
                <w:color w:val="000000"/>
                <w:szCs w:val="22"/>
              </w:rPr>
              <w:t>Zmiany nastroju</w:t>
            </w:r>
          </w:p>
        </w:tc>
      </w:tr>
      <w:tr w:rsidR="00132F98" w14:paraId="68D56DA5" w14:textId="77777777">
        <w:tc>
          <w:tcPr>
            <w:tcW w:w="3024" w:type="dxa"/>
            <w:tcBorders>
              <w:top w:val="single" w:sz="4" w:space="0" w:color="auto"/>
              <w:left w:val="single" w:sz="4" w:space="0" w:color="auto"/>
              <w:bottom w:val="single" w:sz="4" w:space="0" w:color="auto"/>
              <w:right w:val="single" w:sz="4" w:space="0" w:color="auto"/>
            </w:tcBorders>
          </w:tcPr>
          <w:p w14:paraId="68D56D9D" w14:textId="77777777" w:rsidR="00132F98" w:rsidRDefault="00584E7E">
            <w:pPr>
              <w:rPr>
                <w:color w:val="000000"/>
                <w:szCs w:val="22"/>
              </w:rPr>
            </w:pPr>
            <w:r>
              <w:rPr>
                <w:color w:val="000000"/>
                <w:szCs w:val="22"/>
              </w:rPr>
              <w:t xml:space="preserve">Zaburzenia układu nerwowego </w:t>
            </w:r>
          </w:p>
        </w:tc>
        <w:tc>
          <w:tcPr>
            <w:tcW w:w="3024" w:type="dxa"/>
            <w:tcBorders>
              <w:top w:val="single" w:sz="4" w:space="0" w:color="auto"/>
              <w:left w:val="single" w:sz="4" w:space="0" w:color="auto"/>
              <w:bottom w:val="single" w:sz="4" w:space="0" w:color="auto"/>
              <w:right w:val="single" w:sz="4" w:space="0" w:color="auto"/>
            </w:tcBorders>
          </w:tcPr>
          <w:p w14:paraId="68D56D9E" w14:textId="77777777" w:rsidR="00132F98" w:rsidRDefault="00584E7E">
            <w:r>
              <w:t>Senność</w:t>
            </w:r>
          </w:p>
        </w:tc>
        <w:tc>
          <w:tcPr>
            <w:tcW w:w="3024" w:type="dxa"/>
            <w:tcBorders>
              <w:top w:val="single" w:sz="4" w:space="0" w:color="auto"/>
              <w:left w:val="single" w:sz="4" w:space="0" w:color="auto"/>
              <w:bottom w:val="single" w:sz="4" w:space="0" w:color="auto"/>
              <w:right w:val="single" w:sz="4" w:space="0" w:color="auto"/>
            </w:tcBorders>
          </w:tcPr>
          <w:p w14:paraId="68D56D9F" w14:textId="77777777" w:rsidR="00132F98" w:rsidRDefault="00584E7E">
            <w:pPr>
              <w:rPr>
                <w:color w:val="000000"/>
                <w:szCs w:val="22"/>
              </w:rPr>
            </w:pPr>
            <w:r>
              <w:rPr>
                <w:color w:val="000000"/>
                <w:szCs w:val="22"/>
              </w:rPr>
              <w:t>Ataksja</w:t>
            </w:r>
          </w:p>
          <w:p w14:paraId="68D56DA0" w14:textId="77777777" w:rsidR="00132F98" w:rsidRDefault="00584E7E">
            <w:pPr>
              <w:rPr>
                <w:color w:val="000000"/>
                <w:szCs w:val="22"/>
              </w:rPr>
            </w:pPr>
            <w:r>
              <w:rPr>
                <w:color w:val="000000"/>
                <w:szCs w:val="22"/>
              </w:rPr>
              <w:lastRenderedPageBreak/>
              <w:t>Niedociśnienie tętnicze</w:t>
            </w:r>
          </w:p>
          <w:p w14:paraId="68D56DA1" w14:textId="77777777" w:rsidR="00132F98" w:rsidRDefault="00584E7E">
            <w:pPr>
              <w:rPr>
                <w:color w:val="000000"/>
                <w:szCs w:val="22"/>
              </w:rPr>
            </w:pPr>
            <w:r>
              <w:rPr>
                <w:color w:val="000000"/>
                <w:szCs w:val="22"/>
              </w:rPr>
              <w:t>Letarg</w:t>
            </w:r>
          </w:p>
          <w:p w14:paraId="68D56DA2" w14:textId="77777777" w:rsidR="00132F98" w:rsidRDefault="00584E7E">
            <w:pPr>
              <w:rPr>
                <w:color w:val="000000"/>
                <w:szCs w:val="22"/>
              </w:rPr>
            </w:pPr>
            <w:r>
              <w:rPr>
                <w:color w:val="000000"/>
                <w:szCs w:val="22"/>
              </w:rPr>
              <w:t>Napad drgawkowy</w:t>
            </w:r>
          </w:p>
          <w:p w14:paraId="68D56DA3" w14:textId="77777777" w:rsidR="00132F98" w:rsidRDefault="00584E7E">
            <w:pPr>
              <w:rPr>
                <w:color w:val="000000"/>
                <w:szCs w:val="22"/>
              </w:rPr>
            </w:pPr>
            <w:r>
              <w:rPr>
                <w:color w:val="000000"/>
                <w:szCs w:val="22"/>
              </w:rPr>
              <w:t>Stan padaczkowy</w:t>
            </w:r>
          </w:p>
          <w:p w14:paraId="68D56DA4" w14:textId="77777777" w:rsidR="00132F98" w:rsidRDefault="00584E7E">
            <w:pPr>
              <w:rPr>
                <w:color w:val="000000"/>
                <w:szCs w:val="22"/>
              </w:rPr>
            </w:pPr>
            <w:r>
              <w:rPr>
                <w:color w:val="000000"/>
                <w:szCs w:val="22"/>
              </w:rPr>
              <w:t>Drżenie</w:t>
            </w:r>
          </w:p>
        </w:tc>
      </w:tr>
      <w:tr w:rsidR="00132F98" w14:paraId="68D56DAA" w14:textId="77777777">
        <w:tc>
          <w:tcPr>
            <w:tcW w:w="3024" w:type="dxa"/>
            <w:tcBorders>
              <w:top w:val="single" w:sz="4" w:space="0" w:color="auto"/>
              <w:left w:val="single" w:sz="4" w:space="0" w:color="auto"/>
              <w:bottom w:val="single" w:sz="4" w:space="0" w:color="auto"/>
              <w:right w:val="single" w:sz="4" w:space="0" w:color="auto"/>
            </w:tcBorders>
          </w:tcPr>
          <w:p w14:paraId="68D56DA6" w14:textId="77777777" w:rsidR="00132F98" w:rsidRDefault="00584E7E">
            <w:pPr>
              <w:rPr>
                <w:color w:val="000000"/>
                <w:szCs w:val="22"/>
              </w:rPr>
            </w:pPr>
            <w:r>
              <w:rPr>
                <w:color w:val="000000"/>
                <w:szCs w:val="22"/>
              </w:rPr>
              <w:lastRenderedPageBreak/>
              <w:t xml:space="preserve">Zaburzenia żołądka i jelit </w:t>
            </w:r>
          </w:p>
        </w:tc>
        <w:tc>
          <w:tcPr>
            <w:tcW w:w="3024" w:type="dxa"/>
            <w:tcBorders>
              <w:top w:val="single" w:sz="4" w:space="0" w:color="auto"/>
              <w:left w:val="single" w:sz="4" w:space="0" w:color="auto"/>
              <w:bottom w:val="single" w:sz="4" w:space="0" w:color="auto"/>
              <w:right w:val="single" w:sz="4" w:space="0" w:color="auto"/>
            </w:tcBorders>
          </w:tcPr>
          <w:p w14:paraId="68D56DA7" w14:textId="77777777" w:rsidR="00132F98" w:rsidRDefault="00584E7E">
            <w:r>
              <w:t>Biegunka</w:t>
            </w:r>
          </w:p>
        </w:tc>
        <w:tc>
          <w:tcPr>
            <w:tcW w:w="3024" w:type="dxa"/>
            <w:tcBorders>
              <w:top w:val="single" w:sz="4" w:space="0" w:color="auto"/>
              <w:left w:val="single" w:sz="4" w:space="0" w:color="auto"/>
              <w:bottom w:val="single" w:sz="4" w:space="0" w:color="auto"/>
              <w:right w:val="single" w:sz="4" w:space="0" w:color="auto"/>
            </w:tcBorders>
          </w:tcPr>
          <w:p w14:paraId="68D56DA8" w14:textId="77777777" w:rsidR="00132F98" w:rsidRDefault="00584E7E">
            <w:pPr>
              <w:rPr>
                <w:color w:val="000000"/>
                <w:szCs w:val="22"/>
              </w:rPr>
            </w:pPr>
            <w:r>
              <w:rPr>
                <w:color w:val="000000"/>
                <w:szCs w:val="22"/>
              </w:rPr>
              <w:t>Zaparcie</w:t>
            </w:r>
          </w:p>
          <w:p w14:paraId="68D56DA9" w14:textId="77777777" w:rsidR="00132F98" w:rsidRDefault="00584E7E">
            <w:pPr>
              <w:rPr>
                <w:color w:val="000000"/>
                <w:szCs w:val="22"/>
              </w:rPr>
            </w:pPr>
            <w:r>
              <w:rPr>
                <w:color w:val="000000"/>
                <w:szCs w:val="22"/>
              </w:rPr>
              <w:t>Nadmierne wydzielanie śliny</w:t>
            </w:r>
          </w:p>
        </w:tc>
      </w:tr>
      <w:tr w:rsidR="00132F98" w14:paraId="68D56DAF" w14:textId="77777777">
        <w:tc>
          <w:tcPr>
            <w:tcW w:w="3024" w:type="dxa"/>
            <w:tcBorders>
              <w:top w:val="single" w:sz="4" w:space="0" w:color="auto"/>
              <w:left w:val="single" w:sz="4" w:space="0" w:color="auto"/>
              <w:bottom w:val="single" w:sz="4" w:space="0" w:color="auto"/>
              <w:right w:val="single" w:sz="4" w:space="0" w:color="auto"/>
            </w:tcBorders>
          </w:tcPr>
          <w:p w14:paraId="68D56DAB" w14:textId="77777777" w:rsidR="00132F98" w:rsidRDefault="00584E7E">
            <w:pPr>
              <w:rPr>
                <w:color w:val="000000"/>
                <w:szCs w:val="22"/>
              </w:rPr>
            </w:pPr>
            <w:r>
              <w:rPr>
                <w:color w:val="000000"/>
                <w:szCs w:val="22"/>
              </w:rPr>
              <w:t xml:space="preserve">Zaburzenia ogólne i stany w miejscu podania </w:t>
            </w:r>
          </w:p>
        </w:tc>
        <w:tc>
          <w:tcPr>
            <w:tcW w:w="3024" w:type="dxa"/>
            <w:tcBorders>
              <w:top w:val="single" w:sz="4" w:space="0" w:color="auto"/>
              <w:left w:val="single" w:sz="4" w:space="0" w:color="auto"/>
              <w:bottom w:val="single" w:sz="4" w:space="0" w:color="auto"/>
              <w:right w:val="single" w:sz="4" w:space="0" w:color="auto"/>
            </w:tcBorders>
          </w:tcPr>
          <w:p w14:paraId="68D56DAC" w14:textId="77777777" w:rsidR="00132F98" w:rsidRDefault="00584E7E">
            <w:r>
              <w:t>Gorączka</w:t>
            </w:r>
          </w:p>
          <w:p w14:paraId="68D56DAD" w14:textId="77777777" w:rsidR="00132F98" w:rsidRDefault="00584E7E">
            <w:r>
              <w:t xml:space="preserve">Zmęczenie </w:t>
            </w:r>
          </w:p>
        </w:tc>
        <w:tc>
          <w:tcPr>
            <w:tcW w:w="3024" w:type="dxa"/>
            <w:tcBorders>
              <w:top w:val="single" w:sz="4" w:space="0" w:color="auto"/>
              <w:left w:val="single" w:sz="4" w:space="0" w:color="auto"/>
              <w:bottom w:val="single" w:sz="4" w:space="0" w:color="auto"/>
              <w:right w:val="single" w:sz="4" w:space="0" w:color="auto"/>
            </w:tcBorders>
          </w:tcPr>
          <w:p w14:paraId="68D56DAE" w14:textId="77777777" w:rsidR="00132F98" w:rsidRDefault="00584E7E">
            <w:pPr>
              <w:rPr>
                <w:color w:val="000000"/>
                <w:szCs w:val="22"/>
              </w:rPr>
            </w:pPr>
            <w:r>
              <w:rPr>
                <w:color w:val="000000"/>
                <w:szCs w:val="22"/>
              </w:rPr>
              <w:t xml:space="preserve"> </w:t>
            </w:r>
          </w:p>
        </w:tc>
      </w:tr>
      <w:tr w:rsidR="00132F98" w14:paraId="68D56DB7" w14:textId="77777777">
        <w:tc>
          <w:tcPr>
            <w:tcW w:w="3024" w:type="dxa"/>
            <w:tcBorders>
              <w:top w:val="single" w:sz="4" w:space="0" w:color="auto"/>
              <w:left w:val="single" w:sz="4" w:space="0" w:color="auto"/>
              <w:bottom w:val="single" w:sz="4" w:space="0" w:color="auto"/>
              <w:right w:val="single" w:sz="4" w:space="0" w:color="auto"/>
            </w:tcBorders>
          </w:tcPr>
          <w:p w14:paraId="68D56DB0" w14:textId="77777777" w:rsidR="00132F98" w:rsidRDefault="00584E7E">
            <w:pPr>
              <w:rPr>
                <w:color w:val="000000"/>
                <w:szCs w:val="22"/>
              </w:rPr>
            </w:pPr>
            <w:r>
              <w:rPr>
                <w:color w:val="000000"/>
                <w:szCs w:val="22"/>
              </w:rPr>
              <w:t xml:space="preserve">Badania diagnostyczne </w:t>
            </w:r>
          </w:p>
        </w:tc>
        <w:tc>
          <w:tcPr>
            <w:tcW w:w="3024" w:type="dxa"/>
            <w:tcBorders>
              <w:top w:val="single" w:sz="4" w:space="0" w:color="auto"/>
              <w:left w:val="single" w:sz="4" w:space="0" w:color="auto"/>
              <w:bottom w:val="single" w:sz="4" w:space="0" w:color="auto"/>
              <w:right w:val="single" w:sz="4" w:space="0" w:color="auto"/>
            </w:tcBorders>
          </w:tcPr>
          <w:p w14:paraId="68D56DB1" w14:textId="77777777" w:rsidR="00132F98" w:rsidRDefault="00584E7E">
            <w:r>
              <w:t>Zmniejszenie stężenia glukozy we krwi</w:t>
            </w:r>
          </w:p>
          <w:p w14:paraId="68D56DB2" w14:textId="77777777" w:rsidR="00132F98" w:rsidRDefault="00584E7E">
            <w:r>
              <w:t>Nieprawidłowości w wynikach badania echokardiograficznego*</w:t>
            </w:r>
          </w:p>
          <w:p w14:paraId="68D56DB3" w14:textId="77777777" w:rsidR="00132F98" w:rsidRDefault="00132F98"/>
        </w:tc>
        <w:tc>
          <w:tcPr>
            <w:tcW w:w="3024" w:type="dxa"/>
            <w:tcBorders>
              <w:top w:val="single" w:sz="4" w:space="0" w:color="auto"/>
              <w:left w:val="single" w:sz="4" w:space="0" w:color="auto"/>
              <w:bottom w:val="single" w:sz="4" w:space="0" w:color="auto"/>
              <w:right w:val="single" w:sz="4" w:space="0" w:color="auto"/>
            </w:tcBorders>
          </w:tcPr>
          <w:p w14:paraId="68D56DB4" w14:textId="77777777" w:rsidR="00132F98" w:rsidRDefault="00584E7E">
            <w:pPr>
              <w:rPr>
                <w:color w:val="000000"/>
                <w:szCs w:val="22"/>
              </w:rPr>
            </w:pPr>
            <w:r>
              <w:rPr>
                <w:color w:val="000000"/>
                <w:szCs w:val="22"/>
              </w:rPr>
              <w:t>Zmniejszenie masy ciała Zwiększenie stężenia</w:t>
            </w:r>
          </w:p>
          <w:p w14:paraId="68D56DB5" w14:textId="77777777" w:rsidR="00132F98" w:rsidRDefault="00584E7E">
            <w:pPr>
              <w:rPr>
                <w:color w:val="000000"/>
                <w:szCs w:val="22"/>
              </w:rPr>
            </w:pPr>
            <w:r>
              <w:rPr>
                <w:color w:val="000000"/>
                <w:szCs w:val="22"/>
              </w:rPr>
              <w:t>prolaktyny we krwi</w:t>
            </w:r>
          </w:p>
          <w:p w14:paraId="68D56DB6" w14:textId="77777777" w:rsidR="00132F98" w:rsidRDefault="00132F98">
            <w:pPr>
              <w:rPr>
                <w:color w:val="000000"/>
                <w:szCs w:val="22"/>
              </w:rPr>
            </w:pPr>
          </w:p>
        </w:tc>
      </w:tr>
    </w:tbl>
    <w:p w14:paraId="68D56DB8" w14:textId="77777777" w:rsidR="00132F98" w:rsidRDefault="00584E7E">
      <w:pPr>
        <w:autoSpaceDE w:val="0"/>
        <w:autoSpaceDN w:val="0"/>
        <w:adjustRightInd w:val="0"/>
        <w:rPr>
          <w:i/>
          <w:iCs/>
        </w:rPr>
      </w:pPr>
      <w:r>
        <w:t xml:space="preserve">* </w:t>
      </w:r>
      <w:r>
        <w:rPr>
          <w:i/>
          <w:iCs/>
        </w:rPr>
        <w:t>Obejmuje śladową i łagodną niedomykalność zastawki mitralnej oraz śladową niedomykalność zastawki aortalnej, które są uznawane za fizjologiczne.</w:t>
      </w:r>
    </w:p>
    <w:p w14:paraId="68D56DB9" w14:textId="77777777" w:rsidR="00132F98" w:rsidRDefault="00132F98">
      <w:pPr>
        <w:autoSpaceDE w:val="0"/>
        <w:autoSpaceDN w:val="0"/>
        <w:adjustRightInd w:val="0"/>
      </w:pPr>
    </w:p>
    <w:p w14:paraId="68D56DBA" w14:textId="77777777" w:rsidR="00132F98" w:rsidRDefault="00584E7E">
      <w:pPr>
        <w:keepNext/>
        <w:rPr>
          <w:szCs w:val="22"/>
        </w:rPr>
      </w:pPr>
      <w:r>
        <w:rPr>
          <w:b/>
          <w:bCs/>
          <w:szCs w:val="22"/>
        </w:rPr>
        <w:t>Tabela 4. Działania niepożądane w przypadku zespołu Lennoxa-Gastauta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132F98" w14:paraId="68D56DBE" w14:textId="77777777">
        <w:tc>
          <w:tcPr>
            <w:tcW w:w="3024" w:type="dxa"/>
          </w:tcPr>
          <w:p w14:paraId="68D56DBB" w14:textId="77777777" w:rsidR="00132F98" w:rsidRDefault="00584E7E">
            <w:pPr>
              <w:pStyle w:val="C-BodyText"/>
              <w:keepNext/>
              <w:spacing w:before="60" w:after="60" w:line="240" w:lineRule="auto"/>
              <w:ind w:left="360" w:hanging="360"/>
              <w:rPr>
                <w:b/>
                <w:bCs/>
                <w:sz w:val="22"/>
                <w:szCs w:val="22"/>
              </w:rPr>
            </w:pPr>
            <w:r>
              <w:rPr>
                <w:b/>
                <w:bCs/>
                <w:sz w:val="22"/>
                <w:szCs w:val="22"/>
              </w:rPr>
              <w:t xml:space="preserve">Klasyfikacja układów i narządów MedDRA </w:t>
            </w:r>
          </w:p>
        </w:tc>
        <w:tc>
          <w:tcPr>
            <w:tcW w:w="3024" w:type="dxa"/>
          </w:tcPr>
          <w:p w14:paraId="68D56DBC" w14:textId="77777777" w:rsidR="00132F98" w:rsidRDefault="00584E7E">
            <w:pPr>
              <w:pStyle w:val="C-BodyText"/>
              <w:spacing w:before="60" w:after="60" w:line="240" w:lineRule="auto"/>
              <w:ind w:left="360" w:hanging="360"/>
              <w:jc w:val="center"/>
              <w:rPr>
                <w:b/>
                <w:bCs/>
                <w:sz w:val="22"/>
                <w:szCs w:val="22"/>
                <w:lang w:val="en-GB"/>
              </w:rPr>
            </w:pPr>
            <w:proofErr w:type="spellStart"/>
            <w:r>
              <w:rPr>
                <w:b/>
                <w:bCs/>
                <w:sz w:val="22"/>
                <w:szCs w:val="22"/>
                <w:lang w:val="en-GB"/>
              </w:rPr>
              <w:t>Bardzo</w:t>
            </w:r>
            <w:proofErr w:type="spellEnd"/>
            <w:r>
              <w:rPr>
                <w:b/>
                <w:bCs/>
                <w:sz w:val="22"/>
                <w:szCs w:val="22"/>
                <w:lang w:val="en-GB"/>
              </w:rPr>
              <w:t xml:space="preserve"> </w:t>
            </w:r>
            <w:proofErr w:type="spellStart"/>
            <w:r>
              <w:rPr>
                <w:b/>
                <w:bCs/>
                <w:sz w:val="22"/>
                <w:szCs w:val="22"/>
                <w:lang w:val="en-GB"/>
              </w:rPr>
              <w:t>często</w:t>
            </w:r>
            <w:proofErr w:type="spellEnd"/>
            <w:r>
              <w:rPr>
                <w:b/>
                <w:bCs/>
                <w:sz w:val="22"/>
                <w:szCs w:val="22"/>
                <w:lang w:val="en-GB"/>
              </w:rPr>
              <w:t xml:space="preserve"> </w:t>
            </w:r>
          </w:p>
        </w:tc>
        <w:tc>
          <w:tcPr>
            <w:tcW w:w="3024" w:type="dxa"/>
          </w:tcPr>
          <w:p w14:paraId="68D56DBD" w14:textId="77777777" w:rsidR="00132F98" w:rsidRDefault="00584E7E">
            <w:pPr>
              <w:pStyle w:val="C-BodyText"/>
              <w:spacing w:before="60" w:after="60" w:line="240" w:lineRule="auto"/>
              <w:ind w:left="360" w:hanging="360"/>
              <w:jc w:val="center"/>
              <w:rPr>
                <w:b/>
                <w:bCs/>
                <w:sz w:val="22"/>
                <w:szCs w:val="22"/>
                <w:lang w:val="en-GB"/>
              </w:rPr>
            </w:pPr>
            <w:proofErr w:type="spellStart"/>
            <w:r>
              <w:rPr>
                <w:b/>
                <w:bCs/>
                <w:sz w:val="22"/>
                <w:szCs w:val="22"/>
                <w:lang w:val="en-GB"/>
              </w:rPr>
              <w:t>Często</w:t>
            </w:r>
            <w:proofErr w:type="spellEnd"/>
            <w:r>
              <w:rPr>
                <w:b/>
                <w:bCs/>
                <w:sz w:val="22"/>
                <w:szCs w:val="22"/>
                <w:lang w:val="en-GB"/>
              </w:rPr>
              <w:t xml:space="preserve"> </w:t>
            </w:r>
          </w:p>
        </w:tc>
      </w:tr>
      <w:tr w:rsidR="00132F98" w14:paraId="68D56DC5" w14:textId="77777777">
        <w:tc>
          <w:tcPr>
            <w:tcW w:w="3024" w:type="dxa"/>
          </w:tcPr>
          <w:p w14:paraId="68D56DBF"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Zakażenia</w:t>
            </w:r>
            <w:proofErr w:type="spellEnd"/>
            <w:r>
              <w:rPr>
                <w:sz w:val="22"/>
                <w:szCs w:val="22"/>
                <w:lang w:val="en-GB"/>
              </w:rPr>
              <w:t xml:space="preserve"> </w:t>
            </w:r>
            <w:proofErr w:type="spellStart"/>
            <w:r>
              <w:rPr>
                <w:sz w:val="22"/>
                <w:szCs w:val="22"/>
                <w:lang w:val="en-GB"/>
              </w:rPr>
              <w:t>i</w:t>
            </w:r>
            <w:proofErr w:type="spellEnd"/>
            <w:r>
              <w:rPr>
                <w:sz w:val="22"/>
                <w:szCs w:val="22"/>
                <w:lang w:val="en-GB"/>
              </w:rPr>
              <w:t xml:space="preserve"> </w:t>
            </w:r>
            <w:proofErr w:type="spellStart"/>
            <w:r>
              <w:rPr>
                <w:sz w:val="22"/>
                <w:szCs w:val="22"/>
                <w:lang w:val="en-GB"/>
              </w:rPr>
              <w:t>zarażenia</w:t>
            </w:r>
            <w:proofErr w:type="spellEnd"/>
            <w:r>
              <w:rPr>
                <w:sz w:val="22"/>
                <w:szCs w:val="22"/>
                <w:lang w:val="en-GB"/>
              </w:rPr>
              <w:t xml:space="preserve"> </w:t>
            </w:r>
            <w:proofErr w:type="spellStart"/>
            <w:r>
              <w:rPr>
                <w:sz w:val="22"/>
                <w:szCs w:val="22"/>
                <w:lang w:val="en-GB"/>
              </w:rPr>
              <w:t>pasożytnicze</w:t>
            </w:r>
            <w:proofErr w:type="spellEnd"/>
            <w:r>
              <w:rPr>
                <w:sz w:val="22"/>
                <w:szCs w:val="22"/>
                <w:lang w:val="en-GB"/>
              </w:rPr>
              <w:t xml:space="preserve"> </w:t>
            </w:r>
          </w:p>
        </w:tc>
        <w:tc>
          <w:tcPr>
            <w:tcW w:w="3024" w:type="dxa"/>
          </w:tcPr>
          <w:p w14:paraId="68D56DC0" w14:textId="77777777" w:rsidR="00132F98" w:rsidRDefault="00584E7E">
            <w:pPr>
              <w:pStyle w:val="C-BodyText"/>
              <w:spacing w:before="60" w:after="60" w:line="240" w:lineRule="auto"/>
              <w:rPr>
                <w:sz w:val="22"/>
                <w:szCs w:val="22"/>
                <w:lang w:val="en-GB"/>
              </w:rPr>
            </w:pPr>
            <w:proofErr w:type="spellStart"/>
            <w:r>
              <w:rPr>
                <w:sz w:val="22"/>
                <w:szCs w:val="22"/>
                <w:lang w:val="en-GB"/>
              </w:rPr>
              <w:t>Zakażenie</w:t>
            </w:r>
            <w:proofErr w:type="spellEnd"/>
            <w:r>
              <w:rPr>
                <w:sz w:val="22"/>
                <w:szCs w:val="22"/>
                <w:lang w:val="en-GB"/>
              </w:rPr>
              <w:t xml:space="preserve"> </w:t>
            </w:r>
            <w:proofErr w:type="spellStart"/>
            <w:r>
              <w:rPr>
                <w:sz w:val="22"/>
                <w:szCs w:val="22"/>
                <w:lang w:val="en-GB"/>
              </w:rPr>
              <w:t>górnych</w:t>
            </w:r>
            <w:proofErr w:type="spellEnd"/>
            <w:r>
              <w:rPr>
                <w:sz w:val="22"/>
                <w:szCs w:val="22"/>
                <w:lang w:val="en-GB"/>
              </w:rPr>
              <w:t xml:space="preserve"> </w:t>
            </w:r>
            <w:proofErr w:type="spellStart"/>
            <w:r>
              <w:rPr>
                <w:sz w:val="22"/>
                <w:szCs w:val="22"/>
                <w:lang w:val="en-GB"/>
              </w:rPr>
              <w:t>dróg</w:t>
            </w:r>
            <w:proofErr w:type="spellEnd"/>
            <w:r>
              <w:rPr>
                <w:sz w:val="22"/>
                <w:szCs w:val="22"/>
                <w:lang w:val="en-GB"/>
              </w:rPr>
              <w:t xml:space="preserve"> </w:t>
            </w:r>
            <w:proofErr w:type="spellStart"/>
            <w:r>
              <w:rPr>
                <w:sz w:val="22"/>
                <w:szCs w:val="22"/>
                <w:lang w:val="en-GB"/>
              </w:rPr>
              <w:t>oddechowych</w:t>
            </w:r>
            <w:proofErr w:type="spellEnd"/>
          </w:p>
        </w:tc>
        <w:tc>
          <w:tcPr>
            <w:tcW w:w="3024" w:type="dxa"/>
          </w:tcPr>
          <w:p w14:paraId="68D56DC1" w14:textId="77777777" w:rsidR="00132F98" w:rsidRDefault="00584E7E">
            <w:pPr>
              <w:pStyle w:val="C-BodyText"/>
              <w:spacing w:before="60" w:after="60" w:line="240" w:lineRule="auto"/>
              <w:ind w:left="360" w:hanging="360"/>
              <w:rPr>
                <w:sz w:val="22"/>
                <w:szCs w:val="22"/>
              </w:rPr>
            </w:pPr>
            <w:r>
              <w:rPr>
                <w:sz w:val="22"/>
                <w:szCs w:val="22"/>
              </w:rPr>
              <w:t>Zapalenie oskrzeli</w:t>
            </w:r>
          </w:p>
          <w:p w14:paraId="68D56DC2" w14:textId="77777777" w:rsidR="00132F98" w:rsidRDefault="00584E7E">
            <w:pPr>
              <w:pStyle w:val="C-BodyText"/>
              <w:spacing w:before="60" w:after="60" w:line="240" w:lineRule="auto"/>
              <w:ind w:left="360" w:hanging="360"/>
              <w:rPr>
                <w:sz w:val="22"/>
                <w:szCs w:val="22"/>
              </w:rPr>
            </w:pPr>
            <w:r>
              <w:rPr>
                <w:sz w:val="22"/>
                <w:szCs w:val="22"/>
              </w:rPr>
              <w:t>Grypa</w:t>
            </w:r>
          </w:p>
          <w:p w14:paraId="68D56DC3"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Zapalenie</w:t>
            </w:r>
            <w:proofErr w:type="spellEnd"/>
            <w:r>
              <w:rPr>
                <w:sz w:val="22"/>
                <w:szCs w:val="22"/>
                <w:lang w:val="en-GB"/>
              </w:rPr>
              <w:t xml:space="preserve"> </w:t>
            </w:r>
            <w:proofErr w:type="spellStart"/>
            <w:r>
              <w:rPr>
                <w:sz w:val="22"/>
                <w:szCs w:val="22"/>
                <w:lang w:val="en-GB"/>
              </w:rPr>
              <w:t>płuc</w:t>
            </w:r>
            <w:proofErr w:type="spellEnd"/>
          </w:p>
          <w:p w14:paraId="68D56DC4" w14:textId="77777777" w:rsidR="00132F98" w:rsidRDefault="00132F98">
            <w:pPr>
              <w:pStyle w:val="C-BodyText"/>
              <w:spacing w:before="60" w:after="60" w:line="240" w:lineRule="auto"/>
              <w:ind w:left="360" w:hanging="360"/>
              <w:rPr>
                <w:sz w:val="22"/>
                <w:szCs w:val="22"/>
                <w:lang w:val="en-GB"/>
              </w:rPr>
            </w:pPr>
          </w:p>
        </w:tc>
      </w:tr>
      <w:tr w:rsidR="00132F98" w14:paraId="68D56DC9" w14:textId="77777777">
        <w:tc>
          <w:tcPr>
            <w:tcW w:w="3024" w:type="dxa"/>
          </w:tcPr>
          <w:p w14:paraId="68D56DC6"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Zaburzenia</w:t>
            </w:r>
            <w:proofErr w:type="spellEnd"/>
            <w:r>
              <w:rPr>
                <w:sz w:val="22"/>
                <w:szCs w:val="22"/>
                <w:lang w:val="en-GB"/>
              </w:rPr>
              <w:t xml:space="preserve"> </w:t>
            </w:r>
            <w:proofErr w:type="spellStart"/>
            <w:r>
              <w:rPr>
                <w:sz w:val="22"/>
                <w:szCs w:val="22"/>
                <w:lang w:val="en-GB"/>
              </w:rPr>
              <w:t>metabolizmu</w:t>
            </w:r>
            <w:proofErr w:type="spellEnd"/>
            <w:r>
              <w:rPr>
                <w:sz w:val="22"/>
                <w:szCs w:val="22"/>
                <w:lang w:val="en-GB"/>
              </w:rPr>
              <w:t xml:space="preserve"> </w:t>
            </w:r>
            <w:proofErr w:type="spellStart"/>
            <w:r>
              <w:rPr>
                <w:sz w:val="22"/>
                <w:szCs w:val="22"/>
                <w:lang w:val="en-GB"/>
              </w:rPr>
              <w:t>i</w:t>
            </w:r>
            <w:proofErr w:type="spellEnd"/>
            <w:r>
              <w:rPr>
                <w:sz w:val="22"/>
                <w:szCs w:val="22"/>
                <w:lang w:val="en-GB"/>
              </w:rPr>
              <w:t xml:space="preserve"> </w:t>
            </w:r>
            <w:proofErr w:type="spellStart"/>
            <w:r>
              <w:rPr>
                <w:sz w:val="22"/>
                <w:szCs w:val="22"/>
                <w:lang w:val="en-GB"/>
              </w:rPr>
              <w:t>odżywiania</w:t>
            </w:r>
            <w:proofErr w:type="spellEnd"/>
            <w:r>
              <w:rPr>
                <w:sz w:val="22"/>
                <w:szCs w:val="22"/>
                <w:lang w:val="en-GB"/>
              </w:rPr>
              <w:t xml:space="preserve"> </w:t>
            </w:r>
          </w:p>
        </w:tc>
        <w:tc>
          <w:tcPr>
            <w:tcW w:w="3024" w:type="dxa"/>
          </w:tcPr>
          <w:p w14:paraId="68D56DC7"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Zmniejszone</w:t>
            </w:r>
            <w:proofErr w:type="spellEnd"/>
            <w:r>
              <w:rPr>
                <w:sz w:val="22"/>
                <w:szCs w:val="22"/>
                <w:lang w:val="en-GB"/>
              </w:rPr>
              <w:t xml:space="preserve"> </w:t>
            </w:r>
            <w:proofErr w:type="spellStart"/>
            <w:r>
              <w:rPr>
                <w:sz w:val="22"/>
                <w:szCs w:val="22"/>
                <w:lang w:val="en-GB"/>
              </w:rPr>
              <w:t>łaknienie</w:t>
            </w:r>
            <w:proofErr w:type="spellEnd"/>
            <w:r>
              <w:rPr>
                <w:sz w:val="22"/>
                <w:szCs w:val="22"/>
                <w:lang w:val="en-GB"/>
              </w:rPr>
              <w:t xml:space="preserve"> </w:t>
            </w:r>
          </w:p>
        </w:tc>
        <w:tc>
          <w:tcPr>
            <w:tcW w:w="3024" w:type="dxa"/>
          </w:tcPr>
          <w:p w14:paraId="68D56DC8" w14:textId="77777777" w:rsidR="00132F98" w:rsidRDefault="00584E7E">
            <w:pPr>
              <w:pStyle w:val="C-BodyText"/>
              <w:spacing w:before="60" w:after="60" w:line="240" w:lineRule="auto"/>
              <w:ind w:left="360" w:hanging="360"/>
              <w:rPr>
                <w:sz w:val="22"/>
                <w:szCs w:val="22"/>
                <w:lang w:val="en-GB"/>
              </w:rPr>
            </w:pPr>
            <w:r>
              <w:rPr>
                <w:sz w:val="22"/>
                <w:szCs w:val="22"/>
                <w:lang w:val="en-GB"/>
              </w:rPr>
              <w:t xml:space="preserve"> </w:t>
            </w:r>
          </w:p>
        </w:tc>
      </w:tr>
      <w:tr w:rsidR="00132F98" w14:paraId="68D56DD0" w14:textId="77777777">
        <w:tc>
          <w:tcPr>
            <w:tcW w:w="3024" w:type="dxa"/>
          </w:tcPr>
          <w:p w14:paraId="68D56DCA"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Zaburzenia</w:t>
            </w:r>
            <w:proofErr w:type="spellEnd"/>
            <w:r>
              <w:rPr>
                <w:sz w:val="22"/>
                <w:szCs w:val="22"/>
                <w:lang w:val="en-GB"/>
              </w:rPr>
              <w:t xml:space="preserve"> </w:t>
            </w:r>
            <w:proofErr w:type="spellStart"/>
            <w:r>
              <w:rPr>
                <w:sz w:val="22"/>
                <w:szCs w:val="22"/>
                <w:lang w:val="en-GB"/>
              </w:rPr>
              <w:t>układu</w:t>
            </w:r>
            <w:proofErr w:type="spellEnd"/>
            <w:r>
              <w:rPr>
                <w:sz w:val="22"/>
                <w:szCs w:val="22"/>
                <w:lang w:val="en-GB"/>
              </w:rPr>
              <w:t xml:space="preserve"> </w:t>
            </w:r>
            <w:proofErr w:type="spellStart"/>
            <w:r>
              <w:rPr>
                <w:sz w:val="22"/>
                <w:szCs w:val="22"/>
                <w:lang w:val="en-GB"/>
              </w:rPr>
              <w:t>nerwowego</w:t>
            </w:r>
            <w:proofErr w:type="spellEnd"/>
            <w:r>
              <w:rPr>
                <w:sz w:val="22"/>
                <w:szCs w:val="22"/>
                <w:lang w:val="en-GB"/>
              </w:rPr>
              <w:t xml:space="preserve"> </w:t>
            </w:r>
          </w:p>
        </w:tc>
        <w:tc>
          <w:tcPr>
            <w:tcW w:w="3024" w:type="dxa"/>
          </w:tcPr>
          <w:p w14:paraId="68D56DCB"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Senność</w:t>
            </w:r>
            <w:proofErr w:type="spellEnd"/>
          </w:p>
        </w:tc>
        <w:tc>
          <w:tcPr>
            <w:tcW w:w="3024" w:type="dxa"/>
          </w:tcPr>
          <w:p w14:paraId="68D56DCC" w14:textId="77777777" w:rsidR="00132F98" w:rsidRDefault="00584E7E">
            <w:pPr>
              <w:pStyle w:val="C-BodyText"/>
              <w:spacing w:before="60" w:after="60" w:line="240" w:lineRule="auto"/>
              <w:ind w:left="360" w:hanging="360"/>
              <w:rPr>
                <w:sz w:val="22"/>
                <w:szCs w:val="22"/>
              </w:rPr>
            </w:pPr>
            <w:r>
              <w:rPr>
                <w:sz w:val="22"/>
                <w:szCs w:val="22"/>
              </w:rPr>
              <w:t xml:space="preserve">Napad </w:t>
            </w:r>
            <w:r>
              <w:rPr>
                <w:sz w:val="22"/>
                <w:szCs w:val="22"/>
              </w:rPr>
              <w:t>drgawkowy</w:t>
            </w:r>
          </w:p>
          <w:p w14:paraId="68D56DCD" w14:textId="77777777" w:rsidR="00132F98" w:rsidRDefault="00584E7E">
            <w:pPr>
              <w:pStyle w:val="C-BodyText"/>
              <w:spacing w:before="60" w:after="60" w:line="240" w:lineRule="auto"/>
              <w:ind w:left="360" w:hanging="360"/>
              <w:rPr>
                <w:sz w:val="22"/>
                <w:szCs w:val="22"/>
              </w:rPr>
            </w:pPr>
            <w:r>
              <w:rPr>
                <w:sz w:val="22"/>
                <w:szCs w:val="22"/>
              </w:rPr>
              <w:t>Stan padaczkowy</w:t>
            </w:r>
          </w:p>
          <w:p w14:paraId="68D56DCE" w14:textId="77777777" w:rsidR="00132F98" w:rsidRDefault="00584E7E">
            <w:pPr>
              <w:pStyle w:val="C-BodyText"/>
              <w:spacing w:before="60" w:after="60" w:line="240" w:lineRule="auto"/>
              <w:ind w:left="360" w:hanging="360"/>
              <w:rPr>
                <w:sz w:val="22"/>
                <w:szCs w:val="22"/>
              </w:rPr>
            </w:pPr>
            <w:r>
              <w:rPr>
                <w:sz w:val="22"/>
                <w:szCs w:val="22"/>
              </w:rPr>
              <w:t>Letarg</w:t>
            </w:r>
          </w:p>
          <w:p w14:paraId="68D56DCF" w14:textId="77777777" w:rsidR="00132F98" w:rsidRDefault="00584E7E">
            <w:pPr>
              <w:pStyle w:val="C-BodyText"/>
              <w:spacing w:before="60" w:after="60" w:line="240" w:lineRule="auto"/>
              <w:ind w:left="360" w:hanging="360"/>
              <w:rPr>
                <w:sz w:val="22"/>
                <w:szCs w:val="22"/>
              </w:rPr>
            </w:pPr>
            <w:r>
              <w:rPr>
                <w:sz w:val="22"/>
                <w:szCs w:val="22"/>
              </w:rPr>
              <w:t>Drżenie</w:t>
            </w:r>
          </w:p>
        </w:tc>
      </w:tr>
      <w:tr w:rsidR="00132F98" w14:paraId="68D56DD6" w14:textId="77777777">
        <w:tc>
          <w:tcPr>
            <w:tcW w:w="3024" w:type="dxa"/>
          </w:tcPr>
          <w:p w14:paraId="68D56DD1"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Zaburzenia</w:t>
            </w:r>
            <w:proofErr w:type="spellEnd"/>
            <w:r>
              <w:rPr>
                <w:sz w:val="22"/>
                <w:szCs w:val="22"/>
                <w:lang w:val="en-GB"/>
              </w:rPr>
              <w:t xml:space="preserve"> </w:t>
            </w:r>
            <w:proofErr w:type="spellStart"/>
            <w:r>
              <w:rPr>
                <w:sz w:val="22"/>
                <w:szCs w:val="22"/>
                <w:lang w:val="en-GB"/>
              </w:rPr>
              <w:t>żołądka</w:t>
            </w:r>
            <w:proofErr w:type="spellEnd"/>
            <w:r>
              <w:rPr>
                <w:sz w:val="22"/>
                <w:szCs w:val="22"/>
                <w:lang w:val="en-GB"/>
              </w:rPr>
              <w:t xml:space="preserve"> </w:t>
            </w:r>
            <w:proofErr w:type="spellStart"/>
            <w:r>
              <w:rPr>
                <w:sz w:val="22"/>
                <w:szCs w:val="22"/>
                <w:lang w:val="en-GB"/>
              </w:rPr>
              <w:t>i</w:t>
            </w:r>
            <w:proofErr w:type="spellEnd"/>
            <w:r>
              <w:rPr>
                <w:sz w:val="22"/>
                <w:szCs w:val="22"/>
                <w:lang w:val="en-GB"/>
              </w:rPr>
              <w:t xml:space="preserve"> </w:t>
            </w:r>
            <w:proofErr w:type="spellStart"/>
            <w:r>
              <w:rPr>
                <w:sz w:val="22"/>
                <w:szCs w:val="22"/>
                <w:lang w:val="en-GB"/>
              </w:rPr>
              <w:t>jelit</w:t>
            </w:r>
            <w:proofErr w:type="spellEnd"/>
            <w:r>
              <w:rPr>
                <w:sz w:val="22"/>
                <w:szCs w:val="22"/>
                <w:lang w:val="en-GB"/>
              </w:rPr>
              <w:t xml:space="preserve"> </w:t>
            </w:r>
          </w:p>
        </w:tc>
        <w:tc>
          <w:tcPr>
            <w:tcW w:w="3024" w:type="dxa"/>
          </w:tcPr>
          <w:p w14:paraId="68D56DD2"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Biegunka</w:t>
            </w:r>
            <w:proofErr w:type="spellEnd"/>
          </w:p>
          <w:p w14:paraId="68D56DD3"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Wymioty</w:t>
            </w:r>
            <w:proofErr w:type="spellEnd"/>
          </w:p>
        </w:tc>
        <w:tc>
          <w:tcPr>
            <w:tcW w:w="3024" w:type="dxa"/>
          </w:tcPr>
          <w:p w14:paraId="68D56DD4"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Zaparcia</w:t>
            </w:r>
            <w:proofErr w:type="spellEnd"/>
          </w:p>
          <w:p w14:paraId="68D56DD5"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Nadmierne</w:t>
            </w:r>
            <w:proofErr w:type="spellEnd"/>
            <w:r>
              <w:rPr>
                <w:sz w:val="22"/>
                <w:szCs w:val="22"/>
                <w:lang w:val="en-GB"/>
              </w:rPr>
              <w:t xml:space="preserve"> </w:t>
            </w:r>
            <w:proofErr w:type="spellStart"/>
            <w:r>
              <w:rPr>
                <w:sz w:val="22"/>
                <w:szCs w:val="22"/>
                <w:lang w:val="en-GB"/>
              </w:rPr>
              <w:t>wydzielanie</w:t>
            </w:r>
            <w:proofErr w:type="spellEnd"/>
            <w:r>
              <w:rPr>
                <w:sz w:val="22"/>
                <w:szCs w:val="22"/>
                <w:lang w:val="en-GB"/>
              </w:rPr>
              <w:t xml:space="preserve"> </w:t>
            </w:r>
            <w:proofErr w:type="spellStart"/>
            <w:r>
              <w:rPr>
                <w:sz w:val="22"/>
                <w:szCs w:val="22"/>
                <w:lang w:val="en-GB"/>
              </w:rPr>
              <w:t>śliny</w:t>
            </w:r>
            <w:proofErr w:type="spellEnd"/>
          </w:p>
        </w:tc>
      </w:tr>
      <w:tr w:rsidR="00132F98" w14:paraId="68D56DDA" w14:textId="77777777">
        <w:tc>
          <w:tcPr>
            <w:tcW w:w="3024" w:type="dxa"/>
          </w:tcPr>
          <w:p w14:paraId="68D56DD7" w14:textId="77777777" w:rsidR="00132F98" w:rsidRDefault="00584E7E">
            <w:pPr>
              <w:pStyle w:val="C-BodyText"/>
              <w:spacing w:before="60" w:after="60" w:line="240" w:lineRule="auto"/>
              <w:ind w:left="360" w:hanging="360"/>
              <w:rPr>
                <w:sz w:val="22"/>
                <w:szCs w:val="22"/>
              </w:rPr>
            </w:pPr>
            <w:r>
              <w:rPr>
                <w:sz w:val="22"/>
                <w:szCs w:val="22"/>
              </w:rPr>
              <w:t xml:space="preserve">Zaburzenia ogólne i stany w miejscu podania </w:t>
            </w:r>
          </w:p>
        </w:tc>
        <w:tc>
          <w:tcPr>
            <w:tcW w:w="3024" w:type="dxa"/>
          </w:tcPr>
          <w:p w14:paraId="68D56DD8"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Zmęczenie</w:t>
            </w:r>
            <w:proofErr w:type="spellEnd"/>
            <w:r>
              <w:rPr>
                <w:sz w:val="22"/>
                <w:szCs w:val="22"/>
                <w:lang w:val="en-GB"/>
              </w:rPr>
              <w:t xml:space="preserve"> </w:t>
            </w:r>
          </w:p>
        </w:tc>
        <w:tc>
          <w:tcPr>
            <w:tcW w:w="3024" w:type="dxa"/>
          </w:tcPr>
          <w:p w14:paraId="68D56DD9" w14:textId="77777777" w:rsidR="00132F98" w:rsidRDefault="00584E7E">
            <w:pPr>
              <w:pStyle w:val="C-BodyText"/>
              <w:spacing w:before="60" w:after="60" w:line="240" w:lineRule="auto"/>
              <w:ind w:left="360" w:hanging="360"/>
              <w:rPr>
                <w:sz w:val="22"/>
                <w:szCs w:val="22"/>
                <w:lang w:val="en-GB"/>
              </w:rPr>
            </w:pPr>
            <w:r>
              <w:rPr>
                <w:sz w:val="22"/>
                <w:szCs w:val="22"/>
                <w:lang w:val="en-GB"/>
              </w:rPr>
              <w:t xml:space="preserve"> </w:t>
            </w:r>
          </w:p>
        </w:tc>
      </w:tr>
      <w:tr w:rsidR="00132F98" w14:paraId="68D56DE0" w14:textId="77777777">
        <w:tc>
          <w:tcPr>
            <w:tcW w:w="3024" w:type="dxa"/>
          </w:tcPr>
          <w:p w14:paraId="68D56DDB"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Badania</w:t>
            </w:r>
            <w:proofErr w:type="spellEnd"/>
            <w:r>
              <w:rPr>
                <w:sz w:val="22"/>
                <w:szCs w:val="22"/>
                <w:lang w:val="en-GB"/>
              </w:rPr>
              <w:t xml:space="preserve"> </w:t>
            </w:r>
            <w:proofErr w:type="spellStart"/>
            <w:r>
              <w:rPr>
                <w:sz w:val="22"/>
                <w:szCs w:val="22"/>
                <w:lang w:val="en-GB"/>
              </w:rPr>
              <w:t>diagnostyczne</w:t>
            </w:r>
            <w:proofErr w:type="spellEnd"/>
            <w:r>
              <w:rPr>
                <w:sz w:val="22"/>
                <w:szCs w:val="22"/>
                <w:lang w:val="en-GB"/>
              </w:rPr>
              <w:t xml:space="preserve"> </w:t>
            </w:r>
          </w:p>
        </w:tc>
        <w:tc>
          <w:tcPr>
            <w:tcW w:w="3024" w:type="dxa"/>
          </w:tcPr>
          <w:p w14:paraId="68D56DDC" w14:textId="77777777" w:rsidR="00132F98" w:rsidRDefault="00132F98">
            <w:pPr>
              <w:pStyle w:val="C-BodyText"/>
              <w:spacing w:before="60" w:after="60" w:line="240" w:lineRule="auto"/>
              <w:ind w:left="360" w:hanging="360"/>
              <w:rPr>
                <w:sz w:val="22"/>
                <w:szCs w:val="22"/>
                <w:lang w:val="en-GB"/>
              </w:rPr>
            </w:pPr>
          </w:p>
        </w:tc>
        <w:tc>
          <w:tcPr>
            <w:tcW w:w="3024" w:type="dxa"/>
          </w:tcPr>
          <w:p w14:paraId="68D56DDD" w14:textId="77777777" w:rsidR="00132F98" w:rsidRDefault="00584E7E">
            <w:pPr>
              <w:pStyle w:val="C-BodyText"/>
              <w:spacing w:before="60" w:after="0" w:line="240" w:lineRule="auto"/>
              <w:ind w:left="360" w:hanging="360"/>
              <w:rPr>
                <w:sz w:val="22"/>
                <w:szCs w:val="22"/>
              </w:rPr>
            </w:pPr>
            <w:r>
              <w:rPr>
                <w:sz w:val="22"/>
                <w:szCs w:val="22"/>
              </w:rPr>
              <w:t>Zwiększenie stężenia</w:t>
            </w:r>
          </w:p>
          <w:p w14:paraId="68D56DDE" w14:textId="77777777" w:rsidR="00132F98" w:rsidRDefault="00584E7E">
            <w:pPr>
              <w:pStyle w:val="C-BodyText"/>
              <w:spacing w:before="60" w:after="60" w:line="240" w:lineRule="auto"/>
              <w:ind w:left="360" w:hanging="360"/>
              <w:rPr>
                <w:sz w:val="22"/>
                <w:szCs w:val="22"/>
              </w:rPr>
            </w:pPr>
            <w:r>
              <w:rPr>
                <w:sz w:val="22"/>
                <w:szCs w:val="22"/>
              </w:rPr>
              <w:t>prolaktyny we krwi</w:t>
            </w:r>
          </w:p>
          <w:p w14:paraId="68D56DDF" w14:textId="77777777" w:rsidR="00132F98" w:rsidRDefault="00584E7E">
            <w:pPr>
              <w:pStyle w:val="C-BodyText"/>
              <w:spacing w:before="60" w:after="60" w:line="240" w:lineRule="auto"/>
              <w:ind w:left="360" w:hanging="360"/>
              <w:rPr>
                <w:sz w:val="22"/>
                <w:szCs w:val="22"/>
              </w:rPr>
            </w:pPr>
            <w:r>
              <w:rPr>
                <w:sz w:val="22"/>
                <w:szCs w:val="22"/>
              </w:rPr>
              <w:t>Zmniejszenie masy ciała</w:t>
            </w:r>
          </w:p>
        </w:tc>
      </w:tr>
      <w:tr w:rsidR="00132F98" w14:paraId="68D56DE4" w14:textId="77777777">
        <w:tc>
          <w:tcPr>
            <w:tcW w:w="3024" w:type="dxa"/>
          </w:tcPr>
          <w:p w14:paraId="68D56DE1" w14:textId="77777777" w:rsidR="00132F98" w:rsidRDefault="00584E7E">
            <w:pPr>
              <w:pStyle w:val="C-BodyText"/>
              <w:spacing w:before="60" w:after="60" w:line="240" w:lineRule="auto"/>
              <w:ind w:left="360" w:hanging="360"/>
              <w:rPr>
                <w:sz w:val="22"/>
                <w:szCs w:val="22"/>
              </w:rPr>
            </w:pPr>
            <w:r>
              <w:rPr>
                <w:sz w:val="22"/>
                <w:szCs w:val="22"/>
              </w:rPr>
              <w:t>Urazy, zatrucia i powikłania po zabiegach</w:t>
            </w:r>
          </w:p>
        </w:tc>
        <w:tc>
          <w:tcPr>
            <w:tcW w:w="3024" w:type="dxa"/>
          </w:tcPr>
          <w:p w14:paraId="68D56DE2" w14:textId="77777777" w:rsidR="00132F98" w:rsidRDefault="00132F98">
            <w:pPr>
              <w:pStyle w:val="C-BodyText"/>
              <w:spacing w:before="60" w:after="60" w:line="240" w:lineRule="auto"/>
              <w:ind w:left="360" w:hanging="360"/>
              <w:rPr>
                <w:sz w:val="22"/>
                <w:szCs w:val="22"/>
              </w:rPr>
            </w:pPr>
          </w:p>
        </w:tc>
        <w:tc>
          <w:tcPr>
            <w:tcW w:w="3024" w:type="dxa"/>
          </w:tcPr>
          <w:p w14:paraId="68D56DE3" w14:textId="77777777" w:rsidR="00132F98" w:rsidRDefault="00584E7E">
            <w:pPr>
              <w:pStyle w:val="C-BodyText"/>
              <w:spacing w:before="60" w:after="60" w:line="240" w:lineRule="auto"/>
              <w:ind w:left="360" w:hanging="360"/>
              <w:rPr>
                <w:sz w:val="22"/>
                <w:szCs w:val="22"/>
                <w:lang w:val="en-GB"/>
              </w:rPr>
            </w:pPr>
            <w:proofErr w:type="spellStart"/>
            <w:r>
              <w:rPr>
                <w:sz w:val="22"/>
                <w:szCs w:val="22"/>
                <w:lang w:val="en-GB"/>
              </w:rPr>
              <w:t>Upadek</w:t>
            </w:r>
            <w:proofErr w:type="spellEnd"/>
          </w:p>
        </w:tc>
      </w:tr>
    </w:tbl>
    <w:p w14:paraId="68D56DE5" w14:textId="77777777" w:rsidR="00132F98" w:rsidRDefault="00132F98">
      <w:pPr>
        <w:autoSpaceDE w:val="0"/>
        <w:autoSpaceDN w:val="0"/>
        <w:adjustRightInd w:val="0"/>
      </w:pPr>
    </w:p>
    <w:p w14:paraId="68D56DE6" w14:textId="77777777" w:rsidR="00132F98" w:rsidRDefault="00584E7E">
      <w:pPr>
        <w:pStyle w:val="ListParagraph"/>
        <w:ind w:left="0"/>
        <w:rPr>
          <w:rFonts w:cs="Times New Roman"/>
          <w:sz w:val="22"/>
          <w:szCs w:val="22"/>
          <w:u w:val="single"/>
        </w:rPr>
      </w:pPr>
      <w:r>
        <w:rPr>
          <w:rFonts w:cs="Times New Roman"/>
          <w:sz w:val="22"/>
          <w:szCs w:val="22"/>
          <w:u w:val="single"/>
        </w:rPr>
        <w:t>Opis wybranych działań niepożądanych</w:t>
      </w:r>
    </w:p>
    <w:p w14:paraId="68D56DE7" w14:textId="77777777" w:rsidR="00132F98" w:rsidRDefault="00132F98">
      <w:pPr>
        <w:spacing w:line="240" w:lineRule="auto"/>
        <w:rPr>
          <w:highlight w:val="yellow"/>
        </w:rPr>
      </w:pPr>
    </w:p>
    <w:p w14:paraId="68D56DE8" w14:textId="77777777" w:rsidR="00132F98" w:rsidRDefault="00584E7E">
      <w:pPr>
        <w:keepNext/>
        <w:spacing w:line="240" w:lineRule="auto"/>
        <w:rPr>
          <w:i/>
          <w:iCs/>
        </w:rPr>
      </w:pPr>
      <w:r>
        <w:rPr>
          <w:i/>
          <w:iCs/>
        </w:rPr>
        <w:t>Zmniejszenie łaknienia i zmniejszenie masy ciała</w:t>
      </w:r>
    </w:p>
    <w:p w14:paraId="68D56DE9" w14:textId="77777777" w:rsidR="00132F98" w:rsidRDefault="00584E7E">
      <w:pPr>
        <w:keepNext/>
        <w:spacing w:line="240" w:lineRule="auto"/>
      </w:pPr>
      <w:r>
        <w:t xml:space="preserve">Fenfluramina może powodować zmniejszenie łaknienia i zmniejszenie masy ciała. W kontrolowanych badaniach klinicznych z udziałem dzieci i młodych dorosłych z zespołem Dravet u 34,7% pacjentów leczonych fenfluraminą wystąpiło działanie niepożądane w postaci </w:t>
      </w:r>
      <w:r>
        <w:t xml:space="preserve">zmniejszonego łaknienia (w porównaniu z 7,6% pacjentów otrzymujących placebo), a u około 18,9% pacjentów leczonych fenfluraminą występowało zmniejszenie masy ciała o ≥7% względem wyjściowej masy ciała (w porównaniu z 2,4% pacjentów otrzymujących placebo). </w:t>
      </w:r>
      <w:r>
        <w:t xml:space="preserve">W badaniach klinicznych z grupą kontrolną </w:t>
      </w:r>
      <w:r>
        <w:lastRenderedPageBreak/>
        <w:t xml:space="preserve">prowadzonych z udziałem dzieci i osób dorosłych z zespołem Lennoxa-Gastauta u 27,8% pacjentów leczonych fenfluraminą wystąpiło działanie niepożądane w postaci zmniejszonego łaknienia w porównaniu z 11,5% pacjentów </w:t>
      </w:r>
      <w:r>
        <w:t>otrzymujących placebo, a u około 4% pacjentów leczonych fenfluraminą wystąpiło zmniejszenie masy ciała o ≥</w:t>
      </w:r>
      <w:r>
        <w:rPr>
          <w:rFonts w:eastAsiaTheme="minorEastAsia"/>
        </w:rPr>
        <w:t xml:space="preserve">7% w stosunku do masy ciała w punkcie początkowym, w porównaniu do 0% pacjentów otrzymujących placebo. </w:t>
      </w:r>
      <w:r>
        <w:t>Wydaje się, że zmniejszone łaknienie oraz zmnie</w:t>
      </w:r>
      <w:r>
        <w:t>jszenie masy ciała są zależne od dawki. U większości pacjentów z czasem dochodziło do zwiększenia masy ciała w trakcie dalszego leczenia fenfluraminą.</w:t>
      </w:r>
    </w:p>
    <w:p w14:paraId="68D56DEA" w14:textId="77777777" w:rsidR="00132F98" w:rsidRDefault="00132F98">
      <w:pPr>
        <w:spacing w:line="240" w:lineRule="auto"/>
      </w:pPr>
    </w:p>
    <w:p w14:paraId="68D56DEB" w14:textId="77777777" w:rsidR="00132F98" w:rsidRDefault="00584E7E">
      <w:pPr>
        <w:keepNext/>
        <w:spacing w:line="240" w:lineRule="auto"/>
        <w:rPr>
          <w:i/>
          <w:iCs/>
        </w:rPr>
      </w:pPr>
      <w:r>
        <w:rPr>
          <w:i/>
          <w:iCs/>
        </w:rPr>
        <w:t>Stan padaczkowy i napady drgawkowe</w:t>
      </w:r>
    </w:p>
    <w:p w14:paraId="68D56DEC" w14:textId="77777777" w:rsidR="00132F98" w:rsidRDefault="00584E7E">
      <w:pPr>
        <w:pStyle w:val="C-BodyText"/>
        <w:spacing w:before="0" w:after="0" w:line="240" w:lineRule="auto"/>
        <w:rPr>
          <w:sz w:val="22"/>
          <w:lang w:val="pl"/>
        </w:rPr>
      </w:pPr>
      <w:r>
        <w:rPr>
          <w:sz w:val="22"/>
          <w:lang w:val="pl"/>
        </w:rPr>
        <w:t>W badaniach klinicznych III fazy u pacjentów z zespołem Dravet zaobse</w:t>
      </w:r>
      <w:r>
        <w:rPr>
          <w:sz w:val="22"/>
          <w:lang w:val="pl"/>
        </w:rPr>
        <w:t>rwowana częstość występowania stanu padaczkowego wynosiła 1,5% w grupie placebo oraz 5,1% w połączonej grupie fenfluraminy. W badaniach klinicznych III fazy u pacjentów z zespołem Lennoxa-Gastauta zaobserwowana częstość występowania stanu padaczkowego wyno</w:t>
      </w:r>
      <w:r>
        <w:rPr>
          <w:sz w:val="22"/>
          <w:lang w:val="pl"/>
        </w:rPr>
        <w:t>siła 1,1% w grupie placebo oraz 1,1% w grupie fenfluraminy. Nie było przypadków przerwania leczenia z powodu stanu padaczkowego w badaniach klinicznych III fazy z udziałem pacjentów z zespołem Dravet i zespołem Lennoxa-Gastauta.</w:t>
      </w:r>
    </w:p>
    <w:p w14:paraId="68D56DED" w14:textId="77777777" w:rsidR="00132F98" w:rsidRDefault="00132F98">
      <w:pPr>
        <w:pStyle w:val="C-BodyText"/>
        <w:spacing w:before="0" w:after="0" w:line="240" w:lineRule="auto"/>
        <w:rPr>
          <w:sz w:val="22"/>
        </w:rPr>
      </w:pPr>
    </w:p>
    <w:p w14:paraId="68D56DEE" w14:textId="77777777" w:rsidR="00132F98" w:rsidRDefault="00584E7E">
      <w:pPr>
        <w:pStyle w:val="C-BodyText"/>
        <w:spacing w:before="0" w:after="0" w:line="240" w:lineRule="auto"/>
        <w:rPr>
          <w:sz w:val="22"/>
          <w:lang w:val="pl"/>
        </w:rPr>
      </w:pPr>
      <w:r>
        <w:rPr>
          <w:sz w:val="22"/>
          <w:lang w:val="pl"/>
        </w:rPr>
        <w:t xml:space="preserve">W badaniach klinicznych z </w:t>
      </w:r>
      <w:r>
        <w:rPr>
          <w:sz w:val="22"/>
          <w:lang w:val="pl"/>
        </w:rPr>
        <w:t>grupą kontrolną, prowadzonych z udziałem pacjentów z zespołem Dravet, napady drgawkowe zgłaszano rzadziej u pacjentów leczonych fenfluraminą (5,1%) niż u pacjentów przyjmujących placebo (9,8%). Napady padaczkowe uznane za związane ze stosowaniem badanego l</w:t>
      </w:r>
      <w:r>
        <w:rPr>
          <w:sz w:val="22"/>
          <w:lang w:val="pl"/>
        </w:rPr>
        <w:t xml:space="preserve">eku zgłaszano jednak częściej u pacjentów leczonych fenfluraminą niż u pacjentów przyjmujących placebo – 2,8% pacjentów leczonych fenfluraminą w porównaniu do 1,5% pacjentów przyjmujących placebo. W badaniu z udziałem pacjentów z zespołem Lennoxa-Gastauta </w:t>
      </w:r>
      <w:r>
        <w:rPr>
          <w:sz w:val="22"/>
          <w:lang w:val="pl"/>
        </w:rPr>
        <w:t>napady drgawkowe u pacjentów leczonych fenfluraminą były zgłaszane z podobną częstością (6,8%) co u pacjentów otrzymujących placebo (6,9%). Jednak napady drgawkowe uznane za związane z badanym lekiem były częściej zgłaszane u pacjentów przyjmujących fenflu</w:t>
      </w:r>
      <w:r>
        <w:rPr>
          <w:sz w:val="22"/>
          <w:lang w:val="pl"/>
        </w:rPr>
        <w:t>raminę niż u pacjentów przyjmujących placebo; 6,3% pacjentów leczonych fenfluraminą w porównaniu do 1,1% pacjentów otrzymujących placebo.</w:t>
      </w:r>
    </w:p>
    <w:p w14:paraId="68D56DEF" w14:textId="77777777" w:rsidR="00132F98" w:rsidRDefault="00132F98">
      <w:pPr>
        <w:pStyle w:val="C-BodyText"/>
        <w:spacing w:before="0" w:after="0" w:line="240" w:lineRule="auto"/>
        <w:rPr>
          <w:sz w:val="22"/>
        </w:rPr>
      </w:pPr>
    </w:p>
    <w:p w14:paraId="68D56DF0" w14:textId="77777777" w:rsidR="00132F98" w:rsidRDefault="00584E7E">
      <w:pPr>
        <w:pStyle w:val="C-BodyText"/>
        <w:spacing w:before="0" w:after="0" w:line="240" w:lineRule="auto"/>
        <w:rPr>
          <w:sz w:val="22"/>
        </w:rPr>
      </w:pPr>
      <w:r>
        <w:rPr>
          <w:sz w:val="22"/>
          <w:lang w:val="pl"/>
        </w:rPr>
        <w:t>W badaniu III fazy z udziałem pacjentów z zespołem Lennoxa-Gastauta średnia liczba dni do wystąpienia napadów drgawko</w:t>
      </w:r>
      <w:r>
        <w:rPr>
          <w:sz w:val="22"/>
          <w:lang w:val="pl"/>
        </w:rPr>
        <w:t>wych po rozpoczęciu leczenia wynosiła 26,3 dnia w grupie przyjmującej fenfluraminę w dawce 0,2 mg/kg mc. na dobę, 31,3 dnia w grupie przyjmującej fenfluraminę w dawce 0,7 mg/kg mc. na dobę i 31,3 dnia w grupie przyjmującej placebo.</w:t>
      </w:r>
    </w:p>
    <w:p w14:paraId="68D56DF1" w14:textId="77777777" w:rsidR="00132F98" w:rsidRDefault="00132F98">
      <w:pPr>
        <w:spacing w:line="240" w:lineRule="auto"/>
      </w:pPr>
    </w:p>
    <w:p w14:paraId="68D56DF2" w14:textId="77777777" w:rsidR="00132F98" w:rsidRDefault="00584E7E">
      <w:pPr>
        <w:spacing w:line="240" w:lineRule="auto"/>
      </w:pPr>
      <w:r>
        <w:rPr>
          <w:i/>
          <w:iCs/>
        </w:rPr>
        <w:t>Echokardiograficzna ocena bezpieczeństwa związana z niedomykalnością zastawki</w:t>
      </w:r>
    </w:p>
    <w:p w14:paraId="68D56DF3" w14:textId="77777777" w:rsidR="00132F98" w:rsidRDefault="00584E7E">
      <w:pPr>
        <w:pStyle w:val="C-BodyText"/>
        <w:spacing w:before="0" w:after="0" w:line="240" w:lineRule="auto"/>
        <w:rPr>
          <w:sz w:val="22"/>
          <w:szCs w:val="22"/>
        </w:rPr>
      </w:pPr>
      <w:r>
        <w:rPr>
          <w:sz w:val="22"/>
          <w:lang w:val="pl"/>
        </w:rPr>
        <w:t>W ramach badań z grupą kontrolną otrzymującą placebo i badań kontynuacyjnych prowadzonych metodą otwartej próby, chorobę zastawek serca i tętnicze nadciśnienie płucne oceniano na</w:t>
      </w:r>
      <w:r>
        <w:rPr>
          <w:sz w:val="22"/>
          <w:lang w:val="pl"/>
        </w:rPr>
        <w:t xml:space="preserve"> podstawie badania echokardiograficznego u 341 pacjentów z zespołem Dravet i 263 pacjentów z zespołem Lennoxa-Gastauta. W trakcie badań prowadzonych z grupą kontrolną otrzymującą placebo i badań kontynuacyjnych prowadzonych metodą otwartej próby u żadnego </w:t>
      </w:r>
      <w:r>
        <w:rPr>
          <w:sz w:val="22"/>
          <w:lang w:val="pl"/>
        </w:rPr>
        <w:t xml:space="preserve">z pacjentów nie rozwinęła się choroba zastawek serca ani tętnicze nadciśnienie płucne przy ekspozycji trwającej do 3 lat. W badaniach prowadzonych metodą podwójnie ślepej próby dotyczących zespołu Dravet, </w:t>
      </w:r>
      <w:r>
        <w:rPr>
          <w:rStyle w:val="normaltextrun"/>
          <w:sz w:val="22"/>
          <w:lang w:val="pl"/>
        </w:rPr>
        <w:t>śladową niedomykalność zastawki mitralnej zgłoszono u 17,9% pacjentów w grupie przyjmującej fenfluraminę w dawce 0,2 mg/kg mc. na dobę (n=7/39), u 23,3% pacjentów w grupie przyjmującej fenfluraminę w dawce 0,4 mg/kg mc. na dobę (n=10/43), u 22,5% pacjentów</w:t>
      </w:r>
      <w:r>
        <w:rPr>
          <w:rStyle w:val="normaltextrun"/>
          <w:sz w:val="22"/>
          <w:lang w:val="pl"/>
        </w:rPr>
        <w:t xml:space="preserve"> w grupie przyjmującej fenfluraminę w dawce 0,7 mg/kg mc. na dobę (n=9/40) oraz u 9,5% pacjentów w grupie przyjmującej placebo (n=8/84). Łagodną niedomykalność zastawki mitralnej zgłoszono u 2,3% pacjentów w grupie przyjmującej fenfluraminę w dawce 0,4 mg/</w:t>
      </w:r>
      <w:r>
        <w:rPr>
          <w:rStyle w:val="normaltextrun"/>
          <w:sz w:val="22"/>
          <w:lang w:val="pl"/>
        </w:rPr>
        <w:t>kg mc. na dobę (n=1/43). Śladową niedomykalność zastawki mitralnej zgłoszono u 7,9% u pacjentów w grupie przyjmującej fenfluraminę w dawce 0,7 mg/kg mc. na dobę (n=3/40). W badaniach prowadzonych metodą podwójnie ślepej próby u pacjentów z zespołem Lennoxa</w:t>
      </w:r>
      <w:r>
        <w:rPr>
          <w:rStyle w:val="normaltextrun"/>
          <w:sz w:val="22"/>
          <w:lang w:val="pl"/>
        </w:rPr>
        <w:t xml:space="preserve">-Gastauta, śladową niedomykalność zastawki mitralnej zgłoszono u 14,8% pacjentów w grupie przyjmującej fenfluraminę w dawce 0,2 mg/kg mc. na dobę (n=13/89), u 17,6% pacjentów w grupie przyjmującej fenfluraminę w dawce 0,7 mg/kg mc. na dobę (n=15/87) (oraz </w:t>
      </w:r>
      <w:r>
        <w:rPr>
          <w:rStyle w:val="normaltextrun"/>
          <w:sz w:val="22"/>
          <w:lang w:val="pl"/>
        </w:rPr>
        <w:t xml:space="preserve">u 22,1% pacjentów w grupie przyjmującej placebo [n=19/87]). </w:t>
      </w:r>
      <w:r>
        <w:rPr>
          <w:sz w:val="22"/>
          <w:lang w:val="pl"/>
        </w:rPr>
        <w:t>Łagodną niedomykalność zastawki mitralnej zgłoszono u 1,1</w:t>
      </w:r>
      <w:r>
        <w:rPr>
          <w:rStyle w:val="normaltextrun"/>
          <w:sz w:val="22"/>
          <w:lang w:val="pl"/>
        </w:rPr>
        <w:t>%</w:t>
      </w:r>
      <w:r>
        <w:rPr>
          <w:sz w:val="22"/>
          <w:lang w:val="pl"/>
        </w:rPr>
        <w:t xml:space="preserve"> pacjentów w grupie przyjmującej fenfluraminę w dawce 0,7 mg/kg mc. na dobę (n=1/87). Śladową niedomykalność zastawki mitralnej zgłoszono </w:t>
      </w:r>
      <w:r>
        <w:rPr>
          <w:sz w:val="22"/>
          <w:lang w:val="pl"/>
        </w:rPr>
        <w:t xml:space="preserve">u 5,6% pacjentów w grupie przyjmującej fenfluraminę w dawce 0,2 mg/kg mc. na dobę (n=5/89) oraz u 2,3% </w:t>
      </w:r>
      <w:r>
        <w:rPr>
          <w:sz w:val="22"/>
          <w:lang w:val="pl"/>
        </w:rPr>
        <w:lastRenderedPageBreak/>
        <w:t>pacjentów w grupie przyjmującej placebo (n=2/87). Łagodna niedomykalność zastawki mitralnej wystąpiła u 11-letniego pacjenta w grupie przyjmującej fenflu</w:t>
      </w:r>
      <w:r>
        <w:rPr>
          <w:sz w:val="22"/>
          <w:lang w:val="pl"/>
        </w:rPr>
        <w:t>raminę w dawce 0,2 mg/kg mc. na dobę. Nie zaobserwowano nieprawidłowości w budowie zastawek, a po ocenie diagnostycznej za pomocą echokardiogramu przezprzełykowego, wynik został zmieniony na nieobecny.</w:t>
      </w:r>
      <w:r>
        <w:rPr>
          <w:rStyle w:val="CommentReference"/>
          <w:sz w:val="22"/>
          <w:lang w:val="pl"/>
        </w:rPr>
        <w:t xml:space="preserve"> </w:t>
      </w:r>
      <w:r>
        <w:rPr>
          <w:rStyle w:val="normaltextrun"/>
          <w:sz w:val="22"/>
          <w:lang w:val="pl"/>
        </w:rPr>
        <w:t xml:space="preserve">Śladowa i łagodna niedomykalność zastawki mitralnej i </w:t>
      </w:r>
      <w:r>
        <w:rPr>
          <w:rStyle w:val="normaltextrun"/>
          <w:sz w:val="22"/>
          <w:lang w:val="pl"/>
        </w:rPr>
        <w:t xml:space="preserve">śladowa niedomykalność zastawki </w:t>
      </w:r>
      <w:r>
        <w:rPr>
          <w:rStyle w:val="normaltextrun"/>
          <w:sz w:val="22"/>
          <w:szCs w:val="22"/>
          <w:lang w:val="pl"/>
        </w:rPr>
        <w:t xml:space="preserve">aortalnej są wynikami uznawanymi za niepatologiczne </w:t>
      </w:r>
      <w:r>
        <w:rPr>
          <w:sz w:val="22"/>
          <w:szCs w:val="22"/>
          <w:lang w:val="pl"/>
        </w:rPr>
        <w:t>zgodnie z definicją określoną w Wytycznych ESC i ERS z 2015 r.</w:t>
      </w:r>
      <w:r>
        <w:rPr>
          <w:rStyle w:val="normaltextrun"/>
          <w:sz w:val="22"/>
          <w:szCs w:val="22"/>
          <w:lang w:val="pl"/>
        </w:rPr>
        <w:t xml:space="preserve"> </w:t>
      </w:r>
      <w:r>
        <w:rPr>
          <w:sz w:val="22"/>
          <w:szCs w:val="22"/>
          <w:lang w:val="pl"/>
        </w:rPr>
        <w:t>W zaobserwowanych przypadkach śladowej niedomykalności zastawki mitralnej i aortalnej wyniki były często prze</w:t>
      </w:r>
      <w:r>
        <w:rPr>
          <w:sz w:val="22"/>
          <w:szCs w:val="22"/>
          <w:lang w:val="pl"/>
        </w:rPr>
        <w:t>mijające.</w:t>
      </w:r>
    </w:p>
    <w:p w14:paraId="68D56DF4" w14:textId="77777777" w:rsidR="00132F98" w:rsidRDefault="00132F98">
      <w:pPr>
        <w:autoSpaceDE w:val="0"/>
        <w:autoSpaceDN w:val="0"/>
        <w:adjustRightInd w:val="0"/>
        <w:spacing w:line="240" w:lineRule="auto"/>
        <w:rPr>
          <w:szCs w:val="22"/>
          <w:u w:val="single"/>
        </w:rPr>
      </w:pPr>
    </w:p>
    <w:p w14:paraId="68D56DF5" w14:textId="77777777" w:rsidR="00132F98" w:rsidRDefault="00584E7E">
      <w:pPr>
        <w:spacing w:line="240" w:lineRule="auto"/>
        <w:rPr>
          <w:i/>
          <w:iCs/>
          <w:color w:val="000000"/>
          <w:szCs w:val="22"/>
        </w:rPr>
      </w:pPr>
      <w:r>
        <w:rPr>
          <w:i/>
          <w:iCs/>
          <w:color w:val="000000" w:themeColor="text1"/>
          <w:szCs w:val="22"/>
          <w:lang w:val="pl"/>
        </w:rPr>
        <w:t>Letarg, senność i zmęczenie</w:t>
      </w:r>
    </w:p>
    <w:p w14:paraId="68D56DF6" w14:textId="77777777" w:rsidR="00132F98" w:rsidRDefault="00584E7E">
      <w:pPr>
        <w:pStyle w:val="C-BodyText"/>
        <w:spacing w:before="0" w:after="0" w:line="240" w:lineRule="auto"/>
        <w:rPr>
          <w:sz w:val="22"/>
          <w:szCs w:val="18"/>
        </w:rPr>
      </w:pPr>
      <w:r>
        <w:rPr>
          <w:sz w:val="22"/>
          <w:szCs w:val="22"/>
          <w:lang w:val="pl"/>
        </w:rPr>
        <w:t>W badaniach prowadzonych z grupą kontrolną z udziałem uczestników z zespołem Dravet letarg zgłaszano często – u 9,7% uczestników, a senność i zmęczenie/astenię zgłaszano bardzo często, odpowiednio u 13,0% i 18,1% ucze</w:t>
      </w:r>
      <w:r>
        <w:rPr>
          <w:sz w:val="22"/>
          <w:szCs w:val="22"/>
          <w:lang w:val="pl"/>
        </w:rPr>
        <w:t>stników z grup otrzymujących leczenie fenfluraminą analizowanych łącznie. W badaniu z grupą kontrolną z udziałem</w:t>
      </w:r>
      <w:r>
        <w:rPr>
          <w:sz w:val="22"/>
          <w:szCs w:val="18"/>
          <w:lang w:val="pl"/>
        </w:rPr>
        <w:t xml:space="preserve"> pacjentów z zespołem Lennoxa-Gastauta letarg był zgłaszany często u 4% uczestników. Zmęczenie/astenia i senność były zgłaszane bardzo często od</w:t>
      </w:r>
      <w:r>
        <w:rPr>
          <w:sz w:val="22"/>
          <w:szCs w:val="18"/>
          <w:lang w:val="pl"/>
        </w:rPr>
        <w:t xml:space="preserve">powiednio u 18,8% i 13,6% uczestników. Większość działań niepożądanych w postaci letargu, senności i zmęczenia/astenii zgłaszano w ciągu 2 pierwszych tygodni leczenia fenfluraminą, a ich nasilenie było łagodne lub umiarkowane. Przerwanie leczenia z powodu </w:t>
      </w:r>
      <w:r>
        <w:rPr>
          <w:sz w:val="22"/>
          <w:szCs w:val="18"/>
          <w:lang w:val="pl"/>
        </w:rPr>
        <w:t>letargu, senności i (lub) zmęczenia/astenii było rzadkie i, w większości przypadków, te zdarzenia niepożądane ustępowały lub ulegały poprawie w trakcie leczenia. W badaniach z grupą kontrolną z udziałem pacjentów z zespołem Dravet odpowiednio 0,8% i 1,6% u</w:t>
      </w:r>
      <w:r>
        <w:rPr>
          <w:sz w:val="22"/>
          <w:szCs w:val="18"/>
          <w:lang w:val="pl"/>
        </w:rPr>
        <w:t>czestników z grup otrzymujących leczenie fenfluraminą analizowanych łącznie przerwało leczenie z powodu letargu i senności. W badaniu z udziałem pacjentów z zespołem Lennoxa-Gastauta 1,7% uczestników z grupy leczonej fenfluraminą przerwało leczenie z powod</w:t>
      </w:r>
      <w:r>
        <w:rPr>
          <w:sz w:val="22"/>
          <w:szCs w:val="18"/>
          <w:lang w:val="pl"/>
        </w:rPr>
        <w:t xml:space="preserve">u senności. </w:t>
      </w:r>
    </w:p>
    <w:p w14:paraId="68D56DF7" w14:textId="77777777" w:rsidR="00132F98" w:rsidRDefault="00132F98">
      <w:pPr>
        <w:autoSpaceDE w:val="0"/>
        <w:autoSpaceDN w:val="0"/>
        <w:adjustRightInd w:val="0"/>
        <w:spacing w:line="240" w:lineRule="auto"/>
        <w:rPr>
          <w:szCs w:val="22"/>
          <w:u w:val="single"/>
        </w:rPr>
      </w:pPr>
    </w:p>
    <w:p w14:paraId="68D56DF8" w14:textId="77777777" w:rsidR="00132F98" w:rsidRDefault="00584E7E">
      <w:pPr>
        <w:autoSpaceDE w:val="0"/>
        <w:autoSpaceDN w:val="0"/>
        <w:adjustRightInd w:val="0"/>
        <w:spacing w:line="240" w:lineRule="auto"/>
        <w:rPr>
          <w:i/>
          <w:iCs/>
          <w:szCs w:val="22"/>
          <w:u w:val="single"/>
        </w:rPr>
      </w:pPr>
      <w:r>
        <w:rPr>
          <w:i/>
          <w:iCs/>
          <w:szCs w:val="22"/>
        </w:rPr>
        <w:t>Zaburzenia żołądka i jelit</w:t>
      </w:r>
    </w:p>
    <w:p w14:paraId="68D56DF9" w14:textId="77777777" w:rsidR="00132F98" w:rsidRDefault="00584E7E">
      <w:pPr>
        <w:pStyle w:val="C-BodyText"/>
        <w:spacing w:before="0" w:after="0" w:line="240" w:lineRule="auto"/>
        <w:rPr>
          <w:sz w:val="22"/>
          <w:lang w:val="pl"/>
        </w:rPr>
      </w:pPr>
      <w:r>
        <w:rPr>
          <w:sz w:val="22"/>
          <w:lang w:val="pl"/>
        </w:rPr>
        <w:t>W badaniu III fazy z grupą kontrolną pacjentów z zespołem Lennoxa-Gastauta z udziałem dzieci i młodych osób dorosłych biegunka (11,9%) i wymioty (10,8%) były obserwowane częściej w grupach otrzymujących leczenie fen</w:t>
      </w:r>
      <w:r>
        <w:rPr>
          <w:sz w:val="22"/>
          <w:lang w:val="pl"/>
        </w:rPr>
        <w:t>fluraminą analizowanych łącznie niż w grupie otrzymującej placebo (odpowiednio 4,6 i 5,7%) w trwającym 14 tygodni okresie zwiększania dawki i leczenia podtrzymującego. Średni czas do wystąpienia biegunki w grupach przyjmujących fenfluraminę wynosił 25,0 dn</w:t>
      </w:r>
      <w:r>
        <w:rPr>
          <w:sz w:val="22"/>
          <w:lang w:val="pl"/>
        </w:rPr>
        <w:t>i i 26,1 dnia odpowiednio w grupie otrzymującej dawkę 0,2 mg/kg mc. na dobę i 0,8 mg/kg mc. na dobę w porównaniu do 46 dni w grupie przyjmującej placebo, podczas gdy średni czas do wystąpienia wymiotów w grupach przyjmujących fenfluraminę wynosił 29,8 dnia</w:t>
      </w:r>
      <w:r>
        <w:rPr>
          <w:sz w:val="22"/>
          <w:lang w:val="pl"/>
        </w:rPr>
        <w:t xml:space="preserve"> i 29,1 dnia odpowiednio w grupie otrzymującej dawkę 0,2 mg/kg mc. na dobę i 0,8 mg/kg mc. na dobę w porównaniu do 42,8 dnia w grupie przyjmującej placebo.</w:t>
      </w:r>
    </w:p>
    <w:p w14:paraId="68D56DFA" w14:textId="77777777" w:rsidR="00132F98" w:rsidRDefault="00132F98">
      <w:pPr>
        <w:pStyle w:val="C-BodyText"/>
        <w:spacing w:before="0" w:after="0" w:line="240" w:lineRule="auto"/>
        <w:rPr>
          <w:sz w:val="22"/>
        </w:rPr>
      </w:pPr>
    </w:p>
    <w:p w14:paraId="68D56DFB" w14:textId="77777777" w:rsidR="00132F98" w:rsidRDefault="00584E7E">
      <w:pPr>
        <w:pStyle w:val="C-BodyText"/>
        <w:spacing w:before="0" w:after="0" w:line="240" w:lineRule="auto"/>
        <w:rPr>
          <w:sz w:val="22"/>
          <w:lang w:val="pl"/>
        </w:rPr>
      </w:pPr>
      <w:r>
        <w:rPr>
          <w:sz w:val="22"/>
          <w:lang w:val="pl"/>
        </w:rPr>
        <w:t>W badaniu z grupą kontrolną i badaniu prowadzonym metodą otwartej próby z udziałem pacjentów z zesp</w:t>
      </w:r>
      <w:r>
        <w:rPr>
          <w:sz w:val="22"/>
          <w:lang w:val="pl"/>
        </w:rPr>
        <w:t xml:space="preserve">ołem Lennoxa-Gastauta biegunkę i zaparcia obserwowano częściej w grupach leczonych większą dawką. Średni czas do wystąpienia biegunki wynosił 215,7 dnia, 95,2 dnia oraz 79,6 dnia odpowiednio w grupie otrzymującej średnią dawkę &gt;0 - &lt;0,4 mg/kg mc. na dobę, </w:t>
      </w:r>
      <w:r>
        <w:rPr>
          <w:sz w:val="22"/>
          <w:lang w:val="pl"/>
        </w:rPr>
        <w:t xml:space="preserve">0,4 - &lt;0,6 mg/kg mc. na dobę oraz </w:t>
      </w:r>
      <w:r>
        <w:rPr>
          <w:sz w:val="22"/>
          <w:szCs w:val="22"/>
        </w:rPr>
        <w:t>≥</w:t>
      </w:r>
      <w:r>
        <w:rPr>
          <w:sz w:val="22"/>
          <w:lang w:val="pl"/>
        </w:rPr>
        <w:t xml:space="preserve">0,6 mg/kg, podczas gdy średni czas do wystąpienia zaparcia wynosił 113,0 dni, 173,7 dnia oraz 140,1 dnia w grupie otrzymującej średnią dawkę &gt;0 - &lt;0,4 mg/kg mc. na dobę, 0,4 - &lt;0,6 mg/kg mc. na dobę oraz </w:t>
      </w:r>
      <w:r>
        <w:rPr>
          <w:sz w:val="22"/>
          <w:szCs w:val="22"/>
        </w:rPr>
        <w:t>≥</w:t>
      </w:r>
      <w:r>
        <w:rPr>
          <w:sz w:val="22"/>
          <w:lang w:val="pl"/>
        </w:rPr>
        <w:t>0,6 mg/kg mc. na</w:t>
      </w:r>
      <w:r>
        <w:rPr>
          <w:sz w:val="22"/>
          <w:lang w:val="pl"/>
        </w:rPr>
        <w:t xml:space="preserve"> dobę.</w:t>
      </w:r>
    </w:p>
    <w:p w14:paraId="68D56DFC" w14:textId="77777777" w:rsidR="00132F98" w:rsidRDefault="00132F98">
      <w:pPr>
        <w:pStyle w:val="C-BodyText"/>
        <w:spacing w:before="0" w:after="0" w:line="240" w:lineRule="auto"/>
        <w:rPr>
          <w:sz w:val="22"/>
        </w:rPr>
      </w:pPr>
    </w:p>
    <w:p w14:paraId="68D56DFD" w14:textId="77777777" w:rsidR="00132F98" w:rsidRDefault="00584E7E">
      <w:pPr>
        <w:pStyle w:val="C-BodyText"/>
        <w:spacing w:before="0" w:after="0" w:line="240" w:lineRule="auto"/>
        <w:rPr>
          <w:sz w:val="22"/>
          <w:u w:val="single"/>
          <w:lang w:val="pl"/>
        </w:rPr>
      </w:pPr>
      <w:r>
        <w:rPr>
          <w:sz w:val="22"/>
          <w:lang w:val="pl"/>
        </w:rPr>
        <w:t>Nasilenie wszystkich zgłoszonych zdarzeń obejmujących biegunkę i zaparcia było łagodne lub umiarkowane.</w:t>
      </w:r>
      <w:r>
        <w:rPr>
          <w:sz w:val="22"/>
          <w:u w:val="single"/>
          <w:lang w:val="pl"/>
        </w:rPr>
        <w:t xml:space="preserve"> </w:t>
      </w:r>
    </w:p>
    <w:p w14:paraId="68D56DFE" w14:textId="77777777" w:rsidR="00132F98" w:rsidRDefault="00132F98">
      <w:pPr>
        <w:pStyle w:val="C-BodyText"/>
        <w:spacing w:before="0" w:after="0" w:line="240" w:lineRule="auto"/>
        <w:rPr>
          <w:sz w:val="22"/>
          <w:u w:val="single"/>
        </w:rPr>
      </w:pPr>
    </w:p>
    <w:p w14:paraId="68D56DFF" w14:textId="77777777" w:rsidR="00132F98" w:rsidRDefault="00584E7E">
      <w:pPr>
        <w:pStyle w:val="C-BodyText"/>
        <w:spacing w:before="0" w:after="0" w:line="240" w:lineRule="auto"/>
        <w:rPr>
          <w:i/>
          <w:iCs/>
          <w:sz w:val="22"/>
        </w:rPr>
      </w:pPr>
      <w:r>
        <w:rPr>
          <w:i/>
          <w:iCs/>
          <w:sz w:val="22"/>
          <w:lang w:val="pl"/>
        </w:rPr>
        <w:t>Zakażenia i zarażenia pasożytnicze</w:t>
      </w:r>
    </w:p>
    <w:p w14:paraId="68D56E00" w14:textId="77777777" w:rsidR="00132F98" w:rsidRDefault="00584E7E">
      <w:pPr>
        <w:pStyle w:val="C-BodyText"/>
        <w:spacing w:before="0" w:after="0" w:line="240" w:lineRule="auto"/>
        <w:rPr>
          <w:sz w:val="22"/>
          <w:lang w:val="pl"/>
        </w:rPr>
      </w:pPr>
      <w:r>
        <w:rPr>
          <w:sz w:val="22"/>
          <w:lang w:val="pl"/>
        </w:rPr>
        <w:t>W badaniu III fazy z grupą kontrolną pacjentów z zespołem Lennoxa-Gastauta, z udziałem dzieci i młodych osó</w:t>
      </w:r>
      <w:r>
        <w:rPr>
          <w:sz w:val="22"/>
          <w:lang w:val="pl"/>
        </w:rPr>
        <w:t>b dorosłych, zakażenia górnych dróg oddechowych były obserwowane częściej w grupach otrzymujących leczenie fenfluraminą analizowanych łącznie (7,4%) niż w grupie otrzymującej placebo (3,4%) w trwającym 14 tygodni okresie zwiększania dawki i leczenia podtrz</w:t>
      </w:r>
      <w:r>
        <w:rPr>
          <w:sz w:val="22"/>
          <w:lang w:val="pl"/>
        </w:rPr>
        <w:t>ymującego. Średni czas do wystąpienia zakażenia górnych dróg oddechowych wynosił 42,9 dnia w grupie przyjmującej fenfluraminę w dawce 0,2 mg/kg mc. na dobę oraz 40,8 dnia w grupie przyjmującej fenfluraminę w dawce 0,8 mg/kg mc. na dobę w porównaniu do 46,7</w:t>
      </w:r>
      <w:r>
        <w:rPr>
          <w:sz w:val="22"/>
          <w:lang w:val="pl"/>
        </w:rPr>
        <w:t xml:space="preserve"> dnia w grupie przyjmującej placebo.</w:t>
      </w:r>
    </w:p>
    <w:p w14:paraId="68D56E01" w14:textId="77777777" w:rsidR="00132F98" w:rsidRDefault="00132F98">
      <w:pPr>
        <w:pStyle w:val="C-BodyText"/>
        <w:spacing w:before="0" w:after="0" w:line="240" w:lineRule="auto"/>
        <w:rPr>
          <w:sz w:val="22"/>
        </w:rPr>
      </w:pPr>
    </w:p>
    <w:p w14:paraId="68D56E02" w14:textId="77777777" w:rsidR="00132F98" w:rsidRDefault="00584E7E">
      <w:pPr>
        <w:pStyle w:val="C-BodyText"/>
        <w:spacing w:before="0" w:after="0" w:line="240" w:lineRule="auto"/>
        <w:rPr>
          <w:sz w:val="22"/>
          <w:lang w:val="pl"/>
        </w:rPr>
      </w:pPr>
      <w:r>
        <w:rPr>
          <w:sz w:val="22"/>
          <w:lang w:val="pl"/>
        </w:rPr>
        <w:t>W badaniu prowadzonym z grupą kontrolną z udziałem pacjentów z zespołem Lennoxa-Gastauta większą częstość zakażeń zgłaszano w grupie przyjmującej aktywne leczenie wśród dzieci w wieku 2-6 lat. Łączna częstość występowania zakażeń górnych dróg oddechowych (</w:t>
      </w:r>
      <w:r>
        <w:rPr>
          <w:sz w:val="22"/>
          <w:lang w:val="pl"/>
        </w:rPr>
        <w:t>w tym zakażeń paciorkowcem, zapalenia gardła, zapalenia gardła i migdałków, nieżytu nosa, zapalenia zatok oraz wirusowych zakażeń górnych dróg oddechowych) była najczęściej zgłaszana u 14,2% uczestników z grupy leczonej fenfluraminą. Często zgłaszano zapal</w:t>
      </w:r>
      <w:r>
        <w:rPr>
          <w:sz w:val="22"/>
          <w:lang w:val="pl"/>
        </w:rPr>
        <w:t>enie oskrzeli (2,3%), grypę (2,3%), zapalenie ucha środkowego (1,1%) i zapalenie płuc (2,3%). Większość z tych zakażeń zgłaszano u 2 lub więcej uczestników z grupy leczonej fenfluraminą, a zakażenia tego typu nie były zgłaszane u uczestników z grupy przyjm</w:t>
      </w:r>
      <w:r>
        <w:rPr>
          <w:sz w:val="22"/>
          <w:lang w:val="pl"/>
        </w:rPr>
        <w:t xml:space="preserve">ującej placebo. </w:t>
      </w:r>
    </w:p>
    <w:p w14:paraId="68D56E03" w14:textId="77777777" w:rsidR="00132F98" w:rsidRDefault="00132F98">
      <w:pPr>
        <w:pStyle w:val="C-BodyText"/>
        <w:spacing w:before="0" w:after="0" w:line="240" w:lineRule="auto"/>
        <w:rPr>
          <w:sz w:val="22"/>
          <w:lang w:val="pl"/>
        </w:rPr>
      </w:pPr>
    </w:p>
    <w:p w14:paraId="68D56E04" w14:textId="77777777" w:rsidR="00132F98" w:rsidRDefault="00584E7E">
      <w:pPr>
        <w:pStyle w:val="C-BodyText"/>
        <w:spacing w:before="0" w:after="0" w:line="240" w:lineRule="auto"/>
        <w:rPr>
          <w:sz w:val="22"/>
          <w:lang w:val="pl"/>
        </w:rPr>
      </w:pPr>
      <w:r>
        <w:rPr>
          <w:sz w:val="22"/>
          <w:lang w:val="pl"/>
        </w:rPr>
        <w:t>W badaniu prowadzonym z grupą kontrolną i badaniu prowadzonym metodą otwartej próby z udziałem pacjentów z zespołem Lennoxa-Gastauta zakażenia górnych dróg oddechowych, wirusowe zapalenie żołądka i jelit oraz zapalenie płuc obserwowano cz</w:t>
      </w:r>
      <w:r>
        <w:rPr>
          <w:sz w:val="22"/>
          <w:lang w:val="pl"/>
        </w:rPr>
        <w:t>ęściej w grupach leczonych wyższą dawką. Średni czas do wystąpienia tych zdarzeń wynosił od 6 do 155,1 dnia, od 107,1 do 212,5 dnia i od 155,7 do 320,7 dnia odpowiednio w grupie otrzymującej średnią dawkę &gt;0 - &lt;0,4 mg/kg mc. na dobę, 0,4 - &lt;0,6 mg/kg mc. n</w:t>
      </w:r>
      <w:r>
        <w:rPr>
          <w:sz w:val="22"/>
          <w:lang w:val="pl"/>
        </w:rPr>
        <w:t xml:space="preserve">a dobę oraz </w:t>
      </w:r>
      <w:r>
        <w:rPr>
          <w:sz w:val="22"/>
          <w:szCs w:val="22"/>
        </w:rPr>
        <w:t>≥</w:t>
      </w:r>
      <w:r>
        <w:rPr>
          <w:sz w:val="22"/>
          <w:lang w:val="pl"/>
        </w:rPr>
        <w:t>0,6 mg/kg mc. na dobę.</w:t>
      </w:r>
    </w:p>
    <w:p w14:paraId="68D56E05" w14:textId="77777777" w:rsidR="00132F98" w:rsidRDefault="00132F98">
      <w:pPr>
        <w:pStyle w:val="C-BodyText"/>
        <w:spacing w:before="0" w:after="0" w:line="240" w:lineRule="auto"/>
        <w:rPr>
          <w:sz w:val="22"/>
        </w:rPr>
      </w:pPr>
    </w:p>
    <w:p w14:paraId="68D56E06" w14:textId="77777777" w:rsidR="00132F98" w:rsidRDefault="00584E7E">
      <w:pPr>
        <w:pStyle w:val="C-BodyText"/>
        <w:spacing w:before="0" w:after="0" w:line="240" w:lineRule="auto"/>
        <w:rPr>
          <w:sz w:val="22"/>
        </w:rPr>
      </w:pPr>
      <w:r>
        <w:rPr>
          <w:sz w:val="22"/>
          <w:lang w:val="pl"/>
        </w:rPr>
        <w:t>Nasilenie wszystkich zgłoszonych zdarzeń obejmujących zapalenie nosogardła, zakażenie górnych dróg oddechowych, wirusowe zapalenia żołądka i jelit było łagodne lub umiarkowane. W części badania prowadzonego metodą otwar</w:t>
      </w:r>
      <w:r>
        <w:rPr>
          <w:sz w:val="22"/>
          <w:lang w:val="pl"/>
        </w:rPr>
        <w:t>tej próby, w grupie otrzymującej średnią dawkę 0,4 - &lt;0,6 mg/kg mc. na dobę zgłoszono dwa przypadki ciężkiego zapalenia płuc.</w:t>
      </w:r>
    </w:p>
    <w:p w14:paraId="68D56E07" w14:textId="77777777" w:rsidR="00132F98" w:rsidRDefault="00132F98">
      <w:pPr>
        <w:autoSpaceDE w:val="0"/>
        <w:autoSpaceDN w:val="0"/>
        <w:adjustRightInd w:val="0"/>
        <w:spacing w:line="240" w:lineRule="auto"/>
        <w:rPr>
          <w:szCs w:val="22"/>
          <w:u w:val="single"/>
        </w:rPr>
      </w:pPr>
    </w:p>
    <w:p w14:paraId="68D56E08" w14:textId="77777777" w:rsidR="00132F98" w:rsidRDefault="00584E7E">
      <w:pPr>
        <w:autoSpaceDE w:val="0"/>
        <w:autoSpaceDN w:val="0"/>
        <w:adjustRightInd w:val="0"/>
        <w:spacing w:line="240" w:lineRule="auto"/>
        <w:rPr>
          <w:szCs w:val="22"/>
          <w:u w:val="single"/>
        </w:rPr>
      </w:pPr>
      <w:r>
        <w:rPr>
          <w:szCs w:val="22"/>
          <w:u w:val="single"/>
        </w:rPr>
        <w:t>Zgłaszanie podejrzewanych działań niepożądanych</w:t>
      </w:r>
    </w:p>
    <w:p w14:paraId="68D56E09" w14:textId="77777777" w:rsidR="00132F98" w:rsidRDefault="00132F98">
      <w:pPr>
        <w:autoSpaceDE w:val="0"/>
        <w:autoSpaceDN w:val="0"/>
        <w:adjustRightInd w:val="0"/>
        <w:spacing w:line="240" w:lineRule="auto"/>
        <w:rPr>
          <w:szCs w:val="22"/>
          <w:u w:val="single"/>
        </w:rPr>
      </w:pPr>
    </w:p>
    <w:p w14:paraId="138B700F" w14:textId="2EA2EE65" w:rsidR="00B55354" w:rsidRPr="00584E7E" w:rsidRDefault="00584E7E" w:rsidP="00E00721">
      <w:pPr>
        <w:tabs>
          <w:tab w:val="left" w:pos="-720"/>
          <w:tab w:val="left" w:pos="4536"/>
        </w:tabs>
        <w:suppressAutoHyphens/>
        <w:rPr>
          <w:b/>
          <w:bCs/>
          <w:i/>
          <w:iCs/>
          <w:noProof/>
          <w:szCs w:val="22"/>
          <w:lang w:eastAsia="en-US"/>
        </w:rPr>
      </w:pPr>
      <w:r>
        <w:t xml:space="preserve">Po dopuszczeniu produktu leczniczego do obrotu istotne jest zgłaszanie </w:t>
      </w:r>
      <w:r>
        <w:t>podejrzewanych działań niepożądanych. Umożliwia to nieprzerwane monitorowanie stosunku korzyści do ryzyka stosowania produktu leczniczego. Osoby należące do fachowego personelu medycznego powinny zgłaszać wszelkie podejrzewane działania niepożądane za pośr</w:t>
      </w:r>
      <w:r>
        <w:t>ednictwem</w:t>
      </w:r>
      <w:r w:rsidR="00B55354">
        <w:t xml:space="preserve"> </w:t>
      </w:r>
      <w:r w:rsidR="00B55354">
        <w:rPr>
          <w:rFonts w:eastAsia="Calibri"/>
          <w:bCs/>
          <w:szCs w:val="22"/>
          <w:lang w:eastAsia="zh-CN"/>
        </w:rPr>
        <w:t>Departamentu Monitorowania Niepożądanych Działań Produktów Leczniczych Urzędu Rejestracji Produktów Leczniczych, Wyrobów Medycznych i Produktów Biobójczych</w:t>
      </w:r>
    </w:p>
    <w:p w14:paraId="6756A638" w14:textId="77777777" w:rsidR="00B55354" w:rsidRDefault="00B55354" w:rsidP="00B55354">
      <w:pPr>
        <w:rPr>
          <w:rFonts w:ascii="Verdana" w:eastAsia="SimSun" w:hAnsi="Verdana"/>
          <w:szCs w:val="22"/>
        </w:rPr>
      </w:pPr>
      <w:r>
        <w:rPr>
          <w:rFonts w:eastAsia="Calibri"/>
          <w:bCs/>
          <w:szCs w:val="22"/>
          <w:lang w:eastAsia="zh-CN"/>
        </w:rPr>
        <w:t xml:space="preserve">Al. Jerozolimskie 181C </w:t>
      </w:r>
    </w:p>
    <w:p w14:paraId="0233AA15" w14:textId="77777777" w:rsidR="00B55354" w:rsidRDefault="00B55354" w:rsidP="00B55354">
      <w:pPr>
        <w:rPr>
          <w:rFonts w:eastAsia="Calibri"/>
          <w:bCs/>
          <w:szCs w:val="22"/>
          <w:lang w:eastAsia="zh-CN"/>
        </w:rPr>
      </w:pPr>
      <w:r>
        <w:rPr>
          <w:rFonts w:eastAsia="Calibri"/>
          <w:bCs/>
          <w:szCs w:val="22"/>
          <w:lang w:eastAsia="zh-CN"/>
        </w:rPr>
        <w:t>PL-02 222 Warszawa</w:t>
      </w:r>
    </w:p>
    <w:p w14:paraId="1310A526" w14:textId="77777777" w:rsidR="00B55354" w:rsidRDefault="00B55354" w:rsidP="00B55354">
      <w:pPr>
        <w:rPr>
          <w:rFonts w:eastAsia="Calibri"/>
          <w:bCs/>
          <w:szCs w:val="22"/>
          <w:lang w:eastAsia="zh-CN"/>
        </w:rPr>
      </w:pPr>
      <w:r>
        <w:rPr>
          <w:rFonts w:eastAsia="Calibri"/>
          <w:bCs/>
          <w:szCs w:val="22"/>
          <w:lang w:eastAsia="zh-CN"/>
        </w:rPr>
        <w:t>Tel.: + 48 22 49 21 301</w:t>
      </w:r>
    </w:p>
    <w:p w14:paraId="009C5B28" w14:textId="77777777" w:rsidR="00B55354" w:rsidRDefault="00B55354" w:rsidP="00B55354">
      <w:pPr>
        <w:rPr>
          <w:rFonts w:eastAsia="Calibri"/>
          <w:bCs/>
          <w:szCs w:val="22"/>
          <w:lang w:eastAsia="zh-CN"/>
        </w:rPr>
      </w:pPr>
      <w:r>
        <w:rPr>
          <w:rFonts w:eastAsia="Calibri"/>
          <w:bCs/>
          <w:szCs w:val="22"/>
          <w:lang w:eastAsia="zh-CN"/>
        </w:rPr>
        <w:t>Faks: + 48 22 49 21 309</w:t>
      </w:r>
    </w:p>
    <w:p w14:paraId="0961C86E" w14:textId="77777777" w:rsidR="00B55354" w:rsidRDefault="00B55354" w:rsidP="00B55354">
      <w:pPr>
        <w:rPr>
          <w:rFonts w:eastAsia="Calibri"/>
          <w:bCs/>
          <w:szCs w:val="22"/>
          <w:lang w:eastAsia="zh-CN"/>
        </w:rPr>
      </w:pPr>
      <w:r>
        <w:rPr>
          <w:rFonts w:eastAsia="Calibri"/>
          <w:bCs/>
          <w:szCs w:val="22"/>
          <w:lang w:eastAsia="zh-CN"/>
        </w:rPr>
        <w:t>Strona internetowa: </w:t>
      </w:r>
      <w:r>
        <w:fldChar w:fldCharType="begin"/>
      </w:r>
      <w:r>
        <w:instrText>HYPERLINK "https://smz.ezdrowie.gov.pl/"</w:instrText>
      </w:r>
      <w:r>
        <w:fldChar w:fldCharType="separate"/>
      </w:r>
      <w:r>
        <w:rPr>
          <w:rStyle w:val="Hyperlink"/>
          <w:rFonts w:eastAsia="Calibri"/>
          <w:bCs/>
          <w:szCs w:val="22"/>
          <w:lang w:eastAsia="zh-CN"/>
        </w:rPr>
        <w:t>https://smz.ezdrowie.gov.pl</w:t>
      </w:r>
      <w:r>
        <w:fldChar w:fldCharType="end"/>
      </w:r>
    </w:p>
    <w:p w14:paraId="68D56E0A" w14:textId="29BDEFAF" w:rsidR="00132F98" w:rsidRDefault="00584E7E">
      <w:pPr>
        <w:autoSpaceDE w:val="0"/>
        <w:autoSpaceDN w:val="0"/>
        <w:adjustRightInd w:val="0"/>
        <w:spacing w:line="240" w:lineRule="auto"/>
        <w:rPr>
          <w:noProof/>
          <w:szCs w:val="22"/>
        </w:rPr>
      </w:pPr>
      <w:r>
        <w:t xml:space="preserve"> </w:t>
      </w:r>
    </w:p>
    <w:p w14:paraId="68D56E0B" w14:textId="77777777" w:rsidR="00132F98" w:rsidRDefault="00132F98">
      <w:pPr>
        <w:spacing w:line="240" w:lineRule="auto"/>
        <w:rPr>
          <w:noProof/>
          <w:szCs w:val="22"/>
        </w:rPr>
      </w:pPr>
    </w:p>
    <w:p w14:paraId="68D56E0C" w14:textId="77777777" w:rsidR="00132F98" w:rsidRDefault="00584E7E">
      <w:pPr>
        <w:spacing w:line="240" w:lineRule="auto"/>
        <w:ind w:left="567" w:hanging="567"/>
        <w:outlineLvl w:val="0"/>
        <w:rPr>
          <w:noProof/>
          <w:szCs w:val="22"/>
        </w:rPr>
      </w:pPr>
      <w:r>
        <w:rPr>
          <w:b/>
          <w:szCs w:val="22"/>
        </w:rPr>
        <w:t>4.9</w:t>
      </w:r>
      <w:r>
        <w:rPr>
          <w:b/>
          <w:szCs w:val="22"/>
        </w:rPr>
        <w:tab/>
        <w:t>Przedawkowanie</w:t>
      </w:r>
    </w:p>
    <w:p w14:paraId="68D56E0D" w14:textId="77777777" w:rsidR="00132F98" w:rsidRDefault="00132F98">
      <w:pPr>
        <w:spacing w:line="240" w:lineRule="auto"/>
        <w:rPr>
          <w:noProof/>
        </w:rPr>
      </w:pPr>
    </w:p>
    <w:p w14:paraId="68D56E0E" w14:textId="77777777" w:rsidR="00132F98" w:rsidRDefault="00584E7E">
      <w:pPr>
        <w:spacing w:line="240" w:lineRule="auto"/>
      </w:pPr>
      <w:r>
        <w:t>Dostępne są jedynie ograniczone dane na temat skutków klinicznych przedawkowania fenflur</w:t>
      </w:r>
      <w:r>
        <w:t xml:space="preserve">aminy i sposobu postępowania w takim przypadku. Po zastosowaniu fenfluraminy w dawkach znacznie większych niż dawki uwzględnione w programie badań klinicznych zgłaszano występowanie: pobudzenia, senności, splątania, uderzeń gorąca, drżenia (lub dreszcze), </w:t>
      </w:r>
      <w:r>
        <w:t>gorączki, potliwości, bólu brzucha, hiperwentylacji i rozszerzonych, niereagujących źrenic.</w:t>
      </w:r>
    </w:p>
    <w:p w14:paraId="68D56E0F" w14:textId="77777777" w:rsidR="00132F98" w:rsidRDefault="00132F98">
      <w:pPr>
        <w:spacing w:line="240" w:lineRule="auto"/>
      </w:pPr>
    </w:p>
    <w:p w14:paraId="68D56E10" w14:textId="77777777" w:rsidR="00132F98" w:rsidRDefault="00584E7E">
      <w:pPr>
        <w:spacing w:line="240" w:lineRule="auto"/>
        <w:rPr>
          <w:noProof/>
          <w:szCs w:val="22"/>
        </w:rPr>
      </w:pPr>
      <w:r>
        <w:t>Należy ściśle monitorować parametry życiowe, a w przypadku drgawek, arytmii lub trudności w oddychaniu — zastosować leczenie wspomagające.</w:t>
      </w:r>
    </w:p>
    <w:p w14:paraId="68D56E11" w14:textId="77777777" w:rsidR="00132F98" w:rsidRDefault="00132F98">
      <w:pPr>
        <w:spacing w:line="240" w:lineRule="auto"/>
        <w:rPr>
          <w:noProof/>
          <w:szCs w:val="22"/>
        </w:rPr>
      </w:pPr>
    </w:p>
    <w:p w14:paraId="68D56E12" w14:textId="77777777" w:rsidR="00132F98" w:rsidRDefault="00132F98">
      <w:pPr>
        <w:spacing w:line="240" w:lineRule="auto"/>
        <w:rPr>
          <w:noProof/>
          <w:szCs w:val="22"/>
        </w:rPr>
      </w:pPr>
    </w:p>
    <w:p w14:paraId="68D56E13" w14:textId="77777777" w:rsidR="00132F98" w:rsidRDefault="00584E7E">
      <w:pPr>
        <w:spacing w:line="240" w:lineRule="auto"/>
      </w:pPr>
      <w:r>
        <w:rPr>
          <w:b/>
        </w:rPr>
        <w:t>5.</w:t>
      </w:r>
      <w:r>
        <w:rPr>
          <w:b/>
        </w:rPr>
        <w:tab/>
        <w:t>WŁAŚCIWOŚCI FARMAKO</w:t>
      </w:r>
      <w:r>
        <w:rPr>
          <w:b/>
        </w:rPr>
        <w:t>LOGICZNE</w:t>
      </w:r>
    </w:p>
    <w:p w14:paraId="68D56E14" w14:textId="77777777" w:rsidR="00132F98" w:rsidRDefault="00132F98">
      <w:pPr>
        <w:spacing w:line="240" w:lineRule="auto"/>
      </w:pPr>
    </w:p>
    <w:p w14:paraId="68D56E15" w14:textId="77777777" w:rsidR="00132F98" w:rsidRDefault="00584E7E">
      <w:pPr>
        <w:spacing w:line="240" w:lineRule="auto"/>
        <w:ind w:left="567" w:hanging="567"/>
        <w:outlineLvl w:val="0"/>
      </w:pPr>
      <w:r>
        <w:rPr>
          <w:b/>
        </w:rPr>
        <w:t xml:space="preserve">5.1 </w:t>
      </w:r>
      <w:r>
        <w:rPr>
          <w:b/>
        </w:rPr>
        <w:tab/>
        <w:t>Właściwości farmakodynamiczne</w:t>
      </w:r>
    </w:p>
    <w:p w14:paraId="68D56E16" w14:textId="77777777" w:rsidR="00132F98" w:rsidRDefault="00132F98">
      <w:pPr>
        <w:spacing w:line="240" w:lineRule="auto"/>
      </w:pPr>
    </w:p>
    <w:p w14:paraId="68D56E17" w14:textId="77777777" w:rsidR="00132F98" w:rsidRDefault="00584E7E">
      <w:pPr>
        <w:spacing w:line="240" w:lineRule="auto"/>
        <w:outlineLvl w:val="0"/>
      </w:pPr>
      <w:r>
        <w:t>Grupa farmakoterapeutyczna: leki przeciwpadaczkowe, inne leki przeciwpadaczkowe. Kod ATC: N03AX26.</w:t>
      </w:r>
    </w:p>
    <w:p w14:paraId="68D56E18" w14:textId="77777777" w:rsidR="00132F98" w:rsidRDefault="00132F98">
      <w:pPr>
        <w:outlineLvl w:val="0"/>
      </w:pPr>
    </w:p>
    <w:p w14:paraId="68D56E19" w14:textId="77777777" w:rsidR="00132F98" w:rsidRDefault="00584E7E">
      <w:pPr>
        <w:autoSpaceDE w:val="0"/>
        <w:autoSpaceDN w:val="0"/>
        <w:adjustRightInd w:val="0"/>
        <w:rPr>
          <w:u w:val="single"/>
        </w:rPr>
      </w:pPr>
      <w:r>
        <w:rPr>
          <w:u w:val="single"/>
        </w:rPr>
        <w:lastRenderedPageBreak/>
        <w:t>Mechanizm działania</w:t>
      </w:r>
    </w:p>
    <w:p w14:paraId="68D56E1A" w14:textId="77777777" w:rsidR="00132F98" w:rsidRDefault="00132F98">
      <w:pPr>
        <w:autoSpaceDE w:val="0"/>
        <w:autoSpaceDN w:val="0"/>
        <w:adjustRightInd w:val="0"/>
        <w:rPr>
          <w:u w:val="single"/>
        </w:rPr>
      </w:pPr>
    </w:p>
    <w:p w14:paraId="68D56E1B" w14:textId="77777777" w:rsidR="00132F98" w:rsidRDefault="00584E7E">
      <w:r>
        <w:t xml:space="preserve">Fenfluramina jest lekiem powodującym uwolnienie serotoniny, w wyniku czego pobudza </w:t>
      </w:r>
      <w:r>
        <w:t>wiele podtypów receptora 5</w:t>
      </w:r>
      <w:r>
        <w:noBreakHyphen/>
        <w:t>HT poprzez uwalnianie serotoniny. Fenfluramina może zmniejszać napady padaczkowe, działając jako agonista określonych receptorów serotoninowych w mózgu, w tym receptorów 5</w:t>
      </w:r>
      <w:r>
        <w:noBreakHyphen/>
        <w:t>HT1D, 5</w:t>
      </w:r>
      <w:r>
        <w:noBreakHyphen/>
        <w:t>HT2A i 5</w:t>
      </w:r>
      <w:r>
        <w:noBreakHyphen/>
        <w:t>HT2C, a także oddziałując na receptor si</w:t>
      </w:r>
      <w:r>
        <w:t>gma</w:t>
      </w:r>
      <w:r>
        <w:noBreakHyphen/>
        <w:t>1. Dokładny mechanizm działania fenfluraminy w przypadku zespołu Dravet i zespołu Lennoxa-Gastauta jest nieznany.</w:t>
      </w:r>
    </w:p>
    <w:p w14:paraId="68D56E1C" w14:textId="77777777" w:rsidR="00132F98" w:rsidRDefault="00132F98">
      <w:pPr>
        <w:autoSpaceDE w:val="0"/>
        <w:autoSpaceDN w:val="0"/>
        <w:adjustRightInd w:val="0"/>
      </w:pPr>
    </w:p>
    <w:p w14:paraId="68D56E1D" w14:textId="77777777" w:rsidR="00132F98" w:rsidRDefault="00584E7E">
      <w:pPr>
        <w:keepNext/>
        <w:keepLines/>
        <w:autoSpaceDE w:val="0"/>
        <w:autoSpaceDN w:val="0"/>
        <w:adjustRightInd w:val="0"/>
        <w:rPr>
          <w:u w:val="single"/>
        </w:rPr>
      </w:pPr>
      <w:r>
        <w:rPr>
          <w:u w:val="single"/>
        </w:rPr>
        <w:t>Skuteczność kliniczna</w:t>
      </w:r>
    </w:p>
    <w:p w14:paraId="68D56E1E" w14:textId="77777777" w:rsidR="00132F98" w:rsidRDefault="00132F98">
      <w:pPr>
        <w:keepNext/>
        <w:keepLines/>
        <w:autoSpaceDE w:val="0"/>
        <w:autoSpaceDN w:val="0"/>
        <w:adjustRightInd w:val="0"/>
      </w:pPr>
    </w:p>
    <w:p w14:paraId="68D56E1F" w14:textId="77777777" w:rsidR="00132F98" w:rsidRDefault="00584E7E">
      <w:pPr>
        <w:keepNext/>
        <w:keepLines/>
        <w:autoSpaceDE w:val="0"/>
        <w:autoSpaceDN w:val="0"/>
        <w:adjustRightInd w:val="0"/>
        <w:rPr>
          <w:b/>
          <w:bCs/>
        </w:rPr>
      </w:pPr>
      <w:r>
        <w:rPr>
          <w:b/>
          <w:bCs/>
        </w:rPr>
        <w:t>Zespół Dravet</w:t>
      </w:r>
    </w:p>
    <w:p w14:paraId="68D56E20" w14:textId="77777777" w:rsidR="00132F98" w:rsidRDefault="00584E7E">
      <w:pPr>
        <w:autoSpaceDE w:val="0"/>
        <w:autoSpaceDN w:val="0"/>
        <w:adjustRightInd w:val="0"/>
      </w:pPr>
      <w:r>
        <w:rPr>
          <w:i/>
          <w:iCs/>
        </w:rPr>
        <w:t>Dzieci i młodzi dorośli z zespołem Dravet</w:t>
      </w:r>
    </w:p>
    <w:p w14:paraId="68D56E21" w14:textId="77777777" w:rsidR="00132F98" w:rsidRDefault="00584E7E">
      <w:pPr>
        <w:autoSpaceDE w:val="0"/>
        <w:autoSpaceDN w:val="0"/>
        <w:adjustRightInd w:val="0"/>
      </w:pPr>
      <w:r>
        <w:t>Skuteczność fenfluraminy u dzieci i młodych dorosłych z ze</w:t>
      </w:r>
      <w:r>
        <w:t>społem Dravet oceniano w trzech wieloośrodkowych, randomizowanych badaniach z grupą kontrolną otrzymującą placebo (1501, 1502, 1504).</w:t>
      </w:r>
    </w:p>
    <w:p w14:paraId="68D56E22" w14:textId="77777777" w:rsidR="00132F98" w:rsidRDefault="00132F98">
      <w:pPr>
        <w:autoSpaceDE w:val="0"/>
        <w:autoSpaceDN w:val="0"/>
        <w:adjustRightInd w:val="0"/>
      </w:pPr>
    </w:p>
    <w:p w14:paraId="68D56E23" w14:textId="77777777" w:rsidR="00132F98" w:rsidRDefault="00584E7E">
      <w:pPr>
        <w:autoSpaceDE w:val="0"/>
        <w:autoSpaceDN w:val="0"/>
        <w:adjustRightInd w:val="0"/>
      </w:pPr>
      <w:r>
        <w:t>Badanie 1 (N=119) i badanie 3 (N=143) stanowią prospektywne, połączone analizy pierwszych 119 pacjentów włączonych do bad</w:t>
      </w:r>
      <w:r>
        <w:t>ania (badanie 1) oraz pozostałych 143 pacjentów włączonych do badania w okresie późniejszym (badanie 3) w ramach dwóch identycznych badań prowadzonych metodą podwójnie ślepej próby z grupą kontrolną otrzymującą placebo, ZX008-1501 i ZX008-1502. Badanie 150</w:t>
      </w:r>
      <w:r>
        <w:t>1 i badanie 1502 były prowadzone w grupach równoległych, a schemat badania był taki sam: były to wieloośrodkowe, randomizowane badania prowadzone metodą podwójnie ślepej próby w 3 grupach równoległych, z grupą kontrolną otrzymującą placebo, obejmujące 6-ty</w:t>
      </w:r>
      <w:r>
        <w:t>godniowy okres początkowy, następnie 2-tygodniowy okres dostosowywania dawki oraz 12-tygodniowy okres leczenia podtrzymującego, co daje łącznie 14-tygodniowy okres leczenia. Do tych badań nie włączono pacjentów, którzy przyjmowali jednocześnie styrypentol.</w:t>
      </w:r>
      <w:r>
        <w:t xml:space="preserve"> Zakwalifikowani pacjenci byli losowo przydzieleni w stosunku 1:1:1 do przyjmowania jednej z dwóch dawek fenfluraminy (0,7 mg/kg mc. na dobę albo 0,2 mg/kg mc. na dobę, maksymalnie 26 mg na dobę) lub placebo. Średnia (odchylenie standardowe) wieku uczestni</w:t>
      </w:r>
      <w:r>
        <w:t xml:space="preserve">ków wynosiła 9,0 (4,7) lat w przypadku pacjentów włączonych do badania 1 oraz 9,3 (4,7) lat w przypadku pacjentów włączonych do badania 3, zakres wieku wynosił od 2 do 18 lat. Większość pacjentów było w wieku ≥6 lat (73,9% w badaniu 1 oraz 74,6% w badaniu </w:t>
      </w:r>
      <w:r>
        <w:t>3). U wszystkich włączonych pacjentów choroba nie była wystarczająco kontrolowana pomimo przyjmowania co najmniej jednego leku przeciwpadaczkowego z lub bez zastosowania stymulacji nerwu błędnego i (lub) diety ketogenicznej; najczęściej przyjmowanymi jedno</w:t>
      </w:r>
      <w:r>
        <w:t>cześnie lekami przeciwpadaczkowymi (≥25% ogółem) były: walproinian, klobazam, topiramat oraz lewetyracetam. W badaniu 1 mediana początkowej częstości napadów drgawkowych w okresie 28 dni wynosiła 34,0; 17,5 oraz 21,2 odpowiednio w grupie przyjmującej place</w:t>
      </w:r>
      <w:r>
        <w:t>bo, w grupie przyjmującej fenfluraminę w dawce 0,2 mg/kg mc. na dobę oraz w grupie przyjmującej fenfluraminę w dawce 0,7 mg/kg mc. na dobę. W badaniu 3 mediana początkowej częstości napadów drgawkowych w okresie 28 dni wynosiła 12,7; 18,0 oraz 13,0 odpowie</w:t>
      </w:r>
      <w:r>
        <w:t>dnio w grupie przyjmującej placebo, w grupie przyjmującej fenfluraminę w dawce 0,2 mg/kg mc. na dobę oraz w grupie przyjmującej fenfluraminę w dawce 0,7 mg/kg mc. na dobę.</w:t>
      </w:r>
    </w:p>
    <w:p w14:paraId="68D56E24" w14:textId="77777777" w:rsidR="00132F98" w:rsidRDefault="00132F98">
      <w:pPr>
        <w:autoSpaceDE w:val="0"/>
        <w:autoSpaceDN w:val="0"/>
        <w:adjustRightInd w:val="0"/>
      </w:pPr>
    </w:p>
    <w:p w14:paraId="68D56E25" w14:textId="77777777" w:rsidR="00132F98" w:rsidRDefault="00584E7E">
      <w:pPr>
        <w:autoSpaceDE w:val="0"/>
        <w:autoSpaceDN w:val="0"/>
        <w:adjustRightInd w:val="0"/>
        <w:rPr>
          <w:b/>
          <w:bCs/>
        </w:rPr>
      </w:pPr>
      <w:r>
        <w:rPr>
          <w:b/>
          <w:bCs/>
        </w:rPr>
        <w:t xml:space="preserve">Tabela 5: Zespół Dravet: wyniki badania 1 i badania 3, dotyczące </w:t>
      </w:r>
      <w:r>
        <w:rPr>
          <w:b/>
          <w:bCs/>
        </w:rPr>
        <w:t>pierwszorzędowego punktu końcowego i wybranych drugorzędowych punktów końcowych</w:t>
      </w:r>
    </w:p>
    <w:p w14:paraId="68D56E26" w14:textId="77777777" w:rsidR="00132F98" w:rsidRDefault="00132F98">
      <w:pPr>
        <w:autoSpaceDE w:val="0"/>
        <w:autoSpaceDN w:val="0"/>
        <w:adjustRightInd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149"/>
        <w:gridCol w:w="992"/>
        <w:gridCol w:w="1276"/>
        <w:gridCol w:w="1276"/>
        <w:gridCol w:w="850"/>
        <w:gridCol w:w="1276"/>
        <w:gridCol w:w="1417"/>
      </w:tblGrid>
      <w:tr w:rsidR="00132F98" w14:paraId="68D56E2B" w14:textId="77777777">
        <w:trPr>
          <w:trHeight w:val="737"/>
          <w:tblHeader/>
        </w:trPr>
        <w:tc>
          <w:tcPr>
            <w:tcW w:w="1398" w:type="dxa"/>
            <w:shd w:val="clear" w:color="auto" w:fill="auto"/>
          </w:tcPr>
          <w:p w14:paraId="68D56E27" w14:textId="77777777" w:rsidR="00132F98" w:rsidRDefault="00132F98">
            <w:pPr>
              <w:rPr>
                <w:sz w:val="18"/>
                <w:szCs w:val="18"/>
              </w:rPr>
            </w:pPr>
            <w:bookmarkStart w:id="5" w:name="_Hlk129270262"/>
          </w:p>
        </w:tc>
        <w:tc>
          <w:tcPr>
            <w:tcW w:w="1149" w:type="dxa"/>
            <w:shd w:val="clear" w:color="auto" w:fill="auto"/>
          </w:tcPr>
          <w:p w14:paraId="68D56E28" w14:textId="77777777" w:rsidR="00132F98" w:rsidRDefault="00132F98">
            <w:pPr>
              <w:rPr>
                <w:sz w:val="18"/>
                <w:szCs w:val="18"/>
              </w:rPr>
            </w:pPr>
          </w:p>
        </w:tc>
        <w:tc>
          <w:tcPr>
            <w:tcW w:w="3544" w:type="dxa"/>
            <w:gridSpan w:val="3"/>
            <w:shd w:val="clear" w:color="auto" w:fill="auto"/>
            <w:hideMark/>
          </w:tcPr>
          <w:p w14:paraId="68D56E29" w14:textId="77777777" w:rsidR="00132F98" w:rsidRDefault="00584E7E">
            <w:pPr>
              <w:jc w:val="center"/>
              <w:rPr>
                <w:b/>
                <w:bCs/>
                <w:sz w:val="18"/>
                <w:szCs w:val="18"/>
              </w:rPr>
            </w:pPr>
            <w:r>
              <w:rPr>
                <w:b/>
                <w:bCs/>
                <w:sz w:val="18"/>
                <w:szCs w:val="18"/>
              </w:rPr>
              <w:t>Badanie 1</w:t>
            </w:r>
          </w:p>
        </w:tc>
        <w:tc>
          <w:tcPr>
            <w:tcW w:w="3543" w:type="dxa"/>
            <w:gridSpan w:val="3"/>
            <w:shd w:val="clear" w:color="auto" w:fill="auto"/>
            <w:hideMark/>
          </w:tcPr>
          <w:p w14:paraId="68D56E2A" w14:textId="77777777" w:rsidR="00132F98" w:rsidRDefault="00584E7E">
            <w:pPr>
              <w:jc w:val="center"/>
              <w:rPr>
                <w:b/>
                <w:bCs/>
                <w:sz w:val="18"/>
                <w:szCs w:val="18"/>
              </w:rPr>
            </w:pPr>
            <w:r>
              <w:rPr>
                <w:b/>
                <w:bCs/>
                <w:sz w:val="18"/>
                <w:szCs w:val="18"/>
              </w:rPr>
              <w:t>Badanie 3</w:t>
            </w:r>
          </w:p>
        </w:tc>
      </w:tr>
      <w:tr w:rsidR="00132F98" w14:paraId="68D56E34" w14:textId="77777777">
        <w:trPr>
          <w:trHeight w:val="737"/>
          <w:tblHeader/>
        </w:trPr>
        <w:tc>
          <w:tcPr>
            <w:tcW w:w="1398" w:type="dxa"/>
            <w:shd w:val="clear" w:color="auto" w:fill="auto"/>
          </w:tcPr>
          <w:p w14:paraId="68D56E2C" w14:textId="77777777" w:rsidR="00132F98" w:rsidRDefault="00132F98">
            <w:pPr>
              <w:rPr>
                <w:sz w:val="18"/>
                <w:szCs w:val="18"/>
              </w:rPr>
            </w:pPr>
          </w:p>
        </w:tc>
        <w:tc>
          <w:tcPr>
            <w:tcW w:w="1149" w:type="dxa"/>
            <w:shd w:val="clear" w:color="auto" w:fill="auto"/>
          </w:tcPr>
          <w:p w14:paraId="68D56E2D" w14:textId="77777777" w:rsidR="00132F98" w:rsidRDefault="00132F98">
            <w:pPr>
              <w:rPr>
                <w:sz w:val="18"/>
                <w:szCs w:val="18"/>
              </w:rPr>
            </w:pPr>
          </w:p>
        </w:tc>
        <w:tc>
          <w:tcPr>
            <w:tcW w:w="992" w:type="dxa"/>
            <w:shd w:val="clear" w:color="auto" w:fill="auto"/>
          </w:tcPr>
          <w:p w14:paraId="68D56E2E" w14:textId="77777777" w:rsidR="00132F98" w:rsidRDefault="00584E7E">
            <w:pPr>
              <w:jc w:val="center"/>
              <w:rPr>
                <w:b/>
                <w:bCs/>
                <w:sz w:val="18"/>
                <w:szCs w:val="18"/>
              </w:rPr>
            </w:pPr>
            <w:r>
              <w:rPr>
                <w:b/>
                <w:bCs/>
                <w:sz w:val="18"/>
                <w:szCs w:val="18"/>
              </w:rPr>
              <w:t>Placebo</w:t>
            </w:r>
          </w:p>
        </w:tc>
        <w:tc>
          <w:tcPr>
            <w:tcW w:w="1276" w:type="dxa"/>
            <w:shd w:val="clear" w:color="auto" w:fill="auto"/>
          </w:tcPr>
          <w:p w14:paraId="68D56E2F" w14:textId="77777777" w:rsidR="00132F98" w:rsidRDefault="00584E7E">
            <w:pPr>
              <w:jc w:val="center"/>
              <w:rPr>
                <w:b/>
                <w:sz w:val="18"/>
                <w:szCs w:val="18"/>
              </w:rPr>
            </w:pPr>
            <w:r>
              <w:rPr>
                <w:b/>
                <w:sz w:val="18"/>
                <w:szCs w:val="18"/>
              </w:rPr>
              <w:t>Fenfluramina 0,2 mg/kg mc. na dobę</w:t>
            </w:r>
          </w:p>
        </w:tc>
        <w:tc>
          <w:tcPr>
            <w:tcW w:w="1276" w:type="dxa"/>
            <w:shd w:val="clear" w:color="auto" w:fill="auto"/>
          </w:tcPr>
          <w:p w14:paraId="68D56E30" w14:textId="77777777" w:rsidR="00132F98" w:rsidRDefault="00584E7E">
            <w:pPr>
              <w:jc w:val="center"/>
              <w:rPr>
                <w:b/>
                <w:bCs/>
                <w:sz w:val="18"/>
                <w:szCs w:val="18"/>
              </w:rPr>
            </w:pPr>
            <w:r>
              <w:rPr>
                <w:b/>
                <w:bCs/>
                <w:sz w:val="18"/>
                <w:szCs w:val="18"/>
              </w:rPr>
              <w:t>Fenfluramina 0,7 mg/kg mc. na dobę</w:t>
            </w:r>
          </w:p>
        </w:tc>
        <w:tc>
          <w:tcPr>
            <w:tcW w:w="850" w:type="dxa"/>
            <w:shd w:val="clear" w:color="auto" w:fill="auto"/>
          </w:tcPr>
          <w:p w14:paraId="68D56E31" w14:textId="77777777" w:rsidR="00132F98" w:rsidRDefault="00584E7E">
            <w:pPr>
              <w:jc w:val="center"/>
              <w:rPr>
                <w:b/>
                <w:bCs/>
                <w:sz w:val="18"/>
                <w:szCs w:val="18"/>
              </w:rPr>
            </w:pPr>
            <w:r>
              <w:rPr>
                <w:b/>
                <w:bCs/>
                <w:sz w:val="18"/>
                <w:szCs w:val="18"/>
              </w:rPr>
              <w:t>Placebo</w:t>
            </w:r>
          </w:p>
        </w:tc>
        <w:tc>
          <w:tcPr>
            <w:tcW w:w="1276" w:type="dxa"/>
            <w:shd w:val="clear" w:color="auto" w:fill="auto"/>
          </w:tcPr>
          <w:p w14:paraId="68D56E32" w14:textId="77777777" w:rsidR="00132F98" w:rsidRDefault="00584E7E">
            <w:pPr>
              <w:jc w:val="center"/>
              <w:rPr>
                <w:b/>
                <w:bCs/>
                <w:sz w:val="18"/>
                <w:szCs w:val="18"/>
              </w:rPr>
            </w:pPr>
            <w:r>
              <w:rPr>
                <w:b/>
                <w:sz w:val="18"/>
                <w:szCs w:val="18"/>
              </w:rPr>
              <w:t>Fenfluramina 0,2 mg/kg mc. na dobę</w:t>
            </w:r>
          </w:p>
        </w:tc>
        <w:tc>
          <w:tcPr>
            <w:tcW w:w="1417" w:type="dxa"/>
          </w:tcPr>
          <w:p w14:paraId="68D56E33" w14:textId="77777777" w:rsidR="00132F98" w:rsidRDefault="00584E7E">
            <w:pPr>
              <w:jc w:val="center"/>
              <w:rPr>
                <w:b/>
                <w:bCs/>
                <w:sz w:val="18"/>
                <w:szCs w:val="18"/>
              </w:rPr>
            </w:pPr>
            <w:r>
              <w:rPr>
                <w:b/>
                <w:bCs/>
                <w:sz w:val="18"/>
                <w:szCs w:val="18"/>
              </w:rPr>
              <w:t xml:space="preserve">Fenfluramina </w:t>
            </w:r>
            <w:r>
              <w:rPr>
                <w:b/>
                <w:bCs/>
                <w:sz w:val="18"/>
                <w:szCs w:val="18"/>
              </w:rPr>
              <w:t>0,7 mg/kg mc. na dobę</w:t>
            </w:r>
          </w:p>
        </w:tc>
      </w:tr>
      <w:tr w:rsidR="00132F98" w14:paraId="68D56E52" w14:textId="77777777">
        <w:trPr>
          <w:trHeight w:val="737"/>
        </w:trPr>
        <w:tc>
          <w:tcPr>
            <w:tcW w:w="1398" w:type="dxa"/>
            <w:vMerge w:val="restart"/>
            <w:shd w:val="clear" w:color="auto" w:fill="auto"/>
          </w:tcPr>
          <w:p w14:paraId="68D56E35" w14:textId="77777777" w:rsidR="00132F98" w:rsidRDefault="00584E7E">
            <w:pPr>
              <w:rPr>
                <w:b/>
                <w:bCs/>
                <w:sz w:val="18"/>
                <w:szCs w:val="18"/>
              </w:rPr>
            </w:pPr>
            <w:r>
              <w:rPr>
                <w:b/>
                <w:bCs/>
                <w:sz w:val="18"/>
                <w:szCs w:val="18"/>
              </w:rPr>
              <w:t>Częstość napadów padaczkowych</w:t>
            </w:r>
          </w:p>
          <w:p w14:paraId="68D56E36" w14:textId="77777777" w:rsidR="00132F98" w:rsidRDefault="00132F98">
            <w:pPr>
              <w:rPr>
                <w:b/>
                <w:bCs/>
                <w:sz w:val="18"/>
                <w:szCs w:val="18"/>
              </w:rPr>
            </w:pPr>
          </w:p>
          <w:p w14:paraId="68D56E37" w14:textId="77777777" w:rsidR="00132F98" w:rsidRDefault="00132F98">
            <w:pPr>
              <w:pStyle w:val="paragraph"/>
              <w:spacing w:before="0" w:beforeAutospacing="0" w:after="0" w:afterAutospacing="0"/>
              <w:textAlignment w:val="baseline"/>
              <w:rPr>
                <w:b/>
                <w:bCs/>
                <w:sz w:val="18"/>
                <w:szCs w:val="18"/>
              </w:rPr>
            </w:pPr>
          </w:p>
          <w:p w14:paraId="68D56E38" w14:textId="77777777" w:rsidR="00132F98" w:rsidRDefault="00132F98">
            <w:pPr>
              <w:pStyle w:val="paragraph"/>
              <w:spacing w:before="0" w:beforeAutospacing="0" w:after="0" w:afterAutospacing="0"/>
              <w:textAlignment w:val="baseline"/>
              <w:rPr>
                <w:b/>
                <w:bCs/>
                <w:sz w:val="18"/>
                <w:szCs w:val="18"/>
              </w:rPr>
            </w:pPr>
          </w:p>
          <w:p w14:paraId="68D56E39" w14:textId="77777777" w:rsidR="00132F98" w:rsidRDefault="00132F98">
            <w:pPr>
              <w:pStyle w:val="paragraph"/>
              <w:spacing w:before="0" w:beforeAutospacing="0" w:after="0" w:afterAutospacing="0"/>
              <w:textAlignment w:val="baseline"/>
              <w:rPr>
                <w:b/>
                <w:bCs/>
                <w:sz w:val="18"/>
                <w:szCs w:val="18"/>
              </w:rPr>
            </w:pPr>
          </w:p>
          <w:p w14:paraId="68D56E3A" w14:textId="77777777" w:rsidR="00132F98" w:rsidRDefault="00132F98">
            <w:pPr>
              <w:pStyle w:val="paragraph"/>
              <w:spacing w:before="0" w:beforeAutospacing="0" w:after="0" w:afterAutospacing="0"/>
              <w:textAlignment w:val="baseline"/>
              <w:rPr>
                <w:b/>
                <w:bCs/>
                <w:sz w:val="18"/>
                <w:szCs w:val="18"/>
              </w:rPr>
            </w:pPr>
          </w:p>
          <w:p w14:paraId="68D56E3B" w14:textId="77777777" w:rsidR="00132F98" w:rsidRDefault="00132F98">
            <w:pPr>
              <w:pStyle w:val="paragraph"/>
              <w:spacing w:before="0" w:beforeAutospacing="0" w:after="0" w:afterAutospacing="0"/>
              <w:textAlignment w:val="baseline"/>
              <w:rPr>
                <w:b/>
                <w:bCs/>
                <w:sz w:val="18"/>
                <w:szCs w:val="18"/>
              </w:rPr>
            </w:pPr>
          </w:p>
          <w:p w14:paraId="68D56E3C" w14:textId="77777777" w:rsidR="00132F98" w:rsidRDefault="00584E7E">
            <w:pPr>
              <w:pStyle w:val="paragraph"/>
              <w:spacing w:before="0" w:beforeAutospacing="0" w:after="0" w:afterAutospacing="0"/>
              <w:textAlignment w:val="baseline"/>
              <w:rPr>
                <w:rFonts w:cs="Times New Roman"/>
                <w:b/>
                <w:bCs/>
                <w:sz w:val="18"/>
                <w:szCs w:val="18"/>
              </w:rPr>
            </w:pPr>
            <w:r>
              <w:rPr>
                <w:b/>
                <w:bCs/>
                <w:sz w:val="18"/>
                <w:szCs w:val="18"/>
              </w:rPr>
              <w:t>Okres leczenia podtrzymującego</w:t>
            </w:r>
          </w:p>
        </w:tc>
        <w:tc>
          <w:tcPr>
            <w:tcW w:w="1149" w:type="dxa"/>
            <w:shd w:val="clear" w:color="auto" w:fill="auto"/>
          </w:tcPr>
          <w:p w14:paraId="68D56E3D" w14:textId="77777777" w:rsidR="00132F98" w:rsidRDefault="00584E7E">
            <w:pPr>
              <w:pStyle w:val="paragraph"/>
              <w:spacing w:before="0" w:beforeAutospacing="0" w:after="0" w:afterAutospacing="0"/>
              <w:textAlignment w:val="baseline"/>
              <w:rPr>
                <w:sz w:val="18"/>
                <w:szCs w:val="18"/>
              </w:rPr>
            </w:pPr>
            <w:r>
              <w:rPr>
                <w:sz w:val="18"/>
                <w:szCs w:val="18"/>
              </w:rPr>
              <w:lastRenderedPageBreak/>
              <w:t>N w punkcie początkowym</w:t>
            </w:r>
          </w:p>
          <w:p w14:paraId="68D56E3E" w14:textId="77777777" w:rsidR="00132F98" w:rsidRDefault="00584E7E">
            <w:pPr>
              <w:pStyle w:val="paragraph"/>
              <w:spacing w:before="0" w:beforeAutospacing="0" w:after="0" w:afterAutospacing="0"/>
              <w:textAlignment w:val="baseline"/>
              <w:rPr>
                <w:sz w:val="18"/>
                <w:szCs w:val="18"/>
              </w:rPr>
            </w:pPr>
            <w:r>
              <w:rPr>
                <w:sz w:val="18"/>
                <w:szCs w:val="18"/>
              </w:rPr>
              <w:lastRenderedPageBreak/>
              <w:t>Mediana</w:t>
            </w:r>
          </w:p>
          <w:p w14:paraId="68D56E3F" w14:textId="77777777" w:rsidR="00132F98" w:rsidRDefault="00584E7E">
            <w:pPr>
              <w:pStyle w:val="paragraph"/>
              <w:spacing w:before="0" w:beforeAutospacing="0" w:after="0" w:afterAutospacing="0"/>
              <w:textAlignment w:val="baseline"/>
              <w:rPr>
                <w:sz w:val="18"/>
                <w:szCs w:val="18"/>
              </w:rPr>
            </w:pPr>
            <w:r>
              <w:rPr>
                <w:sz w:val="18"/>
                <w:szCs w:val="18"/>
              </w:rPr>
              <w:t>(wartość minimalna, wartość maksymalna)</w:t>
            </w:r>
          </w:p>
        </w:tc>
        <w:tc>
          <w:tcPr>
            <w:tcW w:w="992" w:type="dxa"/>
            <w:shd w:val="clear" w:color="auto" w:fill="auto"/>
          </w:tcPr>
          <w:p w14:paraId="68D56E40" w14:textId="77777777" w:rsidR="00132F98" w:rsidRDefault="00584E7E">
            <w:pPr>
              <w:jc w:val="center"/>
              <w:rPr>
                <w:sz w:val="18"/>
                <w:szCs w:val="18"/>
              </w:rPr>
            </w:pPr>
            <w:r>
              <w:rPr>
                <w:sz w:val="18"/>
                <w:szCs w:val="18"/>
              </w:rPr>
              <w:lastRenderedPageBreak/>
              <w:t>40</w:t>
            </w:r>
          </w:p>
          <w:p w14:paraId="68D56E41" w14:textId="77777777" w:rsidR="00132F98" w:rsidRDefault="00584E7E">
            <w:pPr>
              <w:jc w:val="center"/>
              <w:rPr>
                <w:sz w:val="18"/>
                <w:szCs w:val="18"/>
              </w:rPr>
            </w:pPr>
            <w:r>
              <w:rPr>
                <w:sz w:val="18"/>
                <w:szCs w:val="18"/>
              </w:rPr>
              <w:t>34,0</w:t>
            </w:r>
          </w:p>
          <w:p w14:paraId="68D56E42" w14:textId="77777777" w:rsidR="00132F98" w:rsidRDefault="00584E7E">
            <w:pPr>
              <w:jc w:val="center"/>
              <w:rPr>
                <w:sz w:val="18"/>
                <w:szCs w:val="18"/>
              </w:rPr>
            </w:pPr>
            <w:r>
              <w:rPr>
                <w:sz w:val="18"/>
                <w:szCs w:val="18"/>
              </w:rPr>
              <w:lastRenderedPageBreak/>
              <w:t>(3,3; 147,3)</w:t>
            </w:r>
          </w:p>
        </w:tc>
        <w:tc>
          <w:tcPr>
            <w:tcW w:w="1276" w:type="dxa"/>
            <w:shd w:val="clear" w:color="auto" w:fill="auto"/>
          </w:tcPr>
          <w:p w14:paraId="68D56E43" w14:textId="77777777" w:rsidR="00132F98" w:rsidRDefault="00584E7E">
            <w:pPr>
              <w:jc w:val="center"/>
              <w:rPr>
                <w:sz w:val="18"/>
                <w:szCs w:val="18"/>
              </w:rPr>
            </w:pPr>
            <w:r>
              <w:rPr>
                <w:sz w:val="18"/>
                <w:szCs w:val="18"/>
              </w:rPr>
              <w:lastRenderedPageBreak/>
              <w:t>39</w:t>
            </w:r>
          </w:p>
          <w:p w14:paraId="68D56E44" w14:textId="77777777" w:rsidR="00132F98" w:rsidRDefault="00584E7E">
            <w:pPr>
              <w:jc w:val="center"/>
              <w:rPr>
                <w:sz w:val="18"/>
                <w:szCs w:val="18"/>
              </w:rPr>
            </w:pPr>
            <w:r>
              <w:rPr>
                <w:sz w:val="18"/>
                <w:szCs w:val="18"/>
              </w:rPr>
              <w:t>17,5</w:t>
            </w:r>
          </w:p>
          <w:p w14:paraId="68D56E45" w14:textId="77777777" w:rsidR="00132F98" w:rsidRDefault="00584E7E">
            <w:pPr>
              <w:jc w:val="center"/>
              <w:rPr>
                <w:sz w:val="18"/>
                <w:szCs w:val="18"/>
              </w:rPr>
            </w:pPr>
            <w:r>
              <w:rPr>
                <w:sz w:val="18"/>
                <w:szCs w:val="18"/>
              </w:rPr>
              <w:t>(4,8; 623,5)</w:t>
            </w:r>
          </w:p>
        </w:tc>
        <w:tc>
          <w:tcPr>
            <w:tcW w:w="1276" w:type="dxa"/>
            <w:shd w:val="clear" w:color="auto" w:fill="auto"/>
          </w:tcPr>
          <w:p w14:paraId="68D56E46" w14:textId="77777777" w:rsidR="00132F98" w:rsidRDefault="00584E7E">
            <w:pPr>
              <w:jc w:val="center"/>
              <w:rPr>
                <w:sz w:val="18"/>
                <w:szCs w:val="18"/>
              </w:rPr>
            </w:pPr>
            <w:r>
              <w:rPr>
                <w:sz w:val="18"/>
                <w:szCs w:val="18"/>
              </w:rPr>
              <w:t>40</w:t>
            </w:r>
          </w:p>
          <w:p w14:paraId="68D56E47" w14:textId="77777777" w:rsidR="00132F98" w:rsidRDefault="00584E7E">
            <w:pPr>
              <w:jc w:val="center"/>
              <w:rPr>
                <w:sz w:val="18"/>
                <w:szCs w:val="18"/>
              </w:rPr>
            </w:pPr>
            <w:r>
              <w:rPr>
                <w:sz w:val="18"/>
                <w:szCs w:val="18"/>
              </w:rPr>
              <w:t>21,2</w:t>
            </w:r>
          </w:p>
          <w:p w14:paraId="68D56E48" w14:textId="77777777" w:rsidR="00132F98" w:rsidRDefault="00584E7E">
            <w:pPr>
              <w:jc w:val="center"/>
              <w:rPr>
                <w:sz w:val="18"/>
                <w:szCs w:val="18"/>
              </w:rPr>
            </w:pPr>
            <w:r>
              <w:rPr>
                <w:sz w:val="18"/>
                <w:szCs w:val="18"/>
              </w:rPr>
              <w:t>(4,9; 127,0)</w:t>
            </w:r>
          </w:p>
        </w:tc>
        <w:tc>
          <w:tcPr>
            <w:tcW w:w="850" w:type="dxa"/>
            <w:shd w:val="clear" w:color="auto" w:fill="auto"/>
          </w:tcPr>
          <w:p w14:paraId="68D56E49" w14:textId="77777777" w:rsidR="00132F98" w:rsidRDefault="00584E7E">
            <w:pPr>
              <w:jc w:val="center"/>
              <w:rPr>
                <w:sz w:val="18"/>
                <w:szCs w:val="18"/>
              </w:rPr>
            </w:pPr>
            <w:r>
              <w:rPr>
                <w:sz w:val="18"/>
                <w:szCs w:val="18"/>
              </w:rPr>
              <w:t>48</w:t>
            </w:r>
          </w:p>
          <w:p w14:paraId="68D56E4A" w14:textId="77777777" w:rsidR="00132F98" w:rsidRDefault="00584E7E">
            <w:pPr>
              <w:jc w:val="center"/>
              <w:rPr>
                <w:sz w:val="18"/>
                <w:szCs w:val="18"/>
              </w:rPr>
            </w:pPr>
            <w:r>
              <w:rPr>
                <w:sz w:val="18"/>
                <w:szCs w:val="18"/>
              </w:rPr>
              <w:t>12,6</w:t>
            </w:r>
          </w:p>
          <w:p w14:paraId="68D56E4B" w14:textId="77777777" w:rsidR="00132F98" w:rsidRDefault="00584E7E">
            <w:pPr>
              <w:tabs>
                <w:tab w:val="clear" w:pos="567"/>
              </w:tabs>
              <w:spacing w:line="240" w:lineRule="auto"/>
              <w:jc w:val="center"/>
              <w:textAlignment w:val="baseline"/>
              <w:rPr>
                <w:sz w:val="18"/>
                <w:szCs w:val="18"/>
              </w:rPr>
            </w:pPr>
            <w:r>
              <w:rPr>
                <w:sz w:val="18"/>
                <w:szCs w:val="18"/>
              </w:rPr>
              <w:lastRenderedPageBreak/>
              <w:t>(4,0; 229,3)</w:t>
            </w:r>
          </w:p>
        </w:tc>
        <w:tc>
          <w:tcPr>
            <w:tcW w:w="1276" w:type="dxa"/>
            <w:shd w:val="clear" w:color="auto" w:fill="auto"/>
          </w:tcPr>
          <w:p w14:paraId="68D56E4C" w14:textId="77777777" w:rsidR="00132F98" w:rsidRDefault="00584E7E">
            <w:pPr>
              <w:jc w:val="center"/>
              <w:rPr>
                <w:sz w:val="18"/>
                <w:szCs w:val="18"/>
              </w:rPr>
            </w:pPr>
            <w:r>
              <w:rPr>
                <w:sz w:val="18"/>
                <w:szCs w:val="18"/>
              </w:rPr>
              <w:lastRenderedPageBreak/>
              <w:t>46</w:t>
            </w:r>
          </w:p>
          <w:p w14:paraId="68D56E4D" w14:textId="77777777" w:rsidR="00132F98" w:rsidRDefault="00584E7E">
            <w:pPr>
              <w:jc w:val="center"/>
              <w:rPr>
                <w:sz w:val="18"/>
                <w:szCs w:val="18"/>
              </w:rPr>
            </w:pPr>
            <w:r>
              <w:rPr>
                <w:sz w:val="18"/>
                <w:szCs w:val="18"/>
              </w:rPr>
              <w:t>18,0</w:t>
            </w:r>
          </w:p>
          <w:p w14:paraId="68D56E4E" w14:textId="77777777" w:rsidR="00132F98" w:rsidRDefault="00584E7E">
            <w:pPr>
              <w:jc w:val="center"/>
              <w:rPr>
                <w:sz w:val="18"/>
                <w:szCs w:val="18"/>
              </w:rPr>
            </w:pPr>
            <w:r>
              <w:rPr>
                <w:sz w:val="18"/>
                <w:szCs w:val="18"/>
              </w:rPr>
              <w:t>(4,0; 1464,0)</w:t>
            </w:r>
          </w:p>
        </w:tc>
        <w:tc>
          <w:tcPr>
            <w:tcW w:w="1417" w:type="dxa"/>
          </w:tcPr>
          <w:p w14:paraId="68D56E4F" w14:textId="77777777" w:rsidR="00132F98" w:rsidRDefault="00584E7E">
            <w:pPr>
              <w:jc w:val="center"/>
              <w:rPr>
                <w:sz w:val="18"/>
                <w:szCs w:val="18"/>
              </w:rPr>
            </w:pPr>
            <w:r>
              <w:rPr>
                <w:sz w:val="18"/>
                <w:szCs w:val="18"/>
              </w:rPr>
              <w:t>48</w:t>
            </w:r>
          </w:p>
          <w:p w14:paraId="68D56E50" w14:textId="77777777" w:rsidR="00132F98" w:rsidRDefault="00584E7E">
            <w:pPr>
              <w:jc w:val="center"/>
              <w:rPr>
                <w:sz w:val="18"/>
                <w:szCs w:val="18"/>
              </w:rPr>
            </w:pPr>
            <w:r>
              <w:rPr>
                <w:sz w:val="18"/>
                <w:szCs w:val="18"/>
              </w:rPr>
              <w:t>13,0</w:t>
            </w:r>
          </w:p>
          <w:p w14:paraId="68D56E51" w14:textId="77777777" w:rsidR="00132F98" w:rsidRDefault="00584E7E">
            <w:pPr>
              <w:jc w:val="center"/>
              <w:rPr>
                <w:sz w:val="18"/>
                <w:szCs w:val="18"/>
              </w:rPr>
            </w:pPr>
            <w:r>
              <w:rPr>
                <w:sz w:val="18"/>
                <w:szCs w:val="18"/>
              </w:rPr>
              <w:t>2,7; 2700,7)</w:t>
            </w:r>
          </w:p>
        </w:tc>
      </w:tr>
      <w:tr w:rsidR="00132F98" w14:paraId="68D56E68" w14:textId="77777777">
        <w:trPr>
          <w:trHeight w:val="737"/>
        </w:trPr>
        <w:tc>
          <w:tcPr>
            <w:tcW w:w="1398" w:type="dxa"/>
            <w:vMerge/>
            <w:shd w:val="clear" w:color="auto" w:fill="auto"/>
            <w:vAlign w:val="center"/>
          </w:tcPr>
          <w:p w14:paraId="68D56E53" w14:textId="77777777" w:rsidR="00132F98" w:rsidRDefault="00132F98">
            <w:pPr>
              <w:pStyle w:val="paragraph"/>
              <w:spacing w:before="0" w:beforeAutospacing="0" w:after="0" w:afterAutospacing="0"/>
              <w:textAlignment w:val="baseline"/>
              <w:rPr>
                <w:rFonts w:cs="Times New Roman"/>
                <w:b/>
                <w:bCs/>
                <w:sz w:val="18"/>
                <w:szCs w:val="18"/>
              </w:rPr>
            </w:pPr>
          </w:p>
        </w:tc>
        <w:tc>
          <w:tcPr>
            <w:tcW w:w="1149" w:type="dxa"/>
            <w:shd w:val="clear" w:color="auto" w:fill="auto"/>
          </w:tcPr>
          <w:p w14:paraId="68D56E54" w14:textId="77777777" w:rsidR="00132F98" w:rsidRDefault="00584E7E">
            <w:pPr>
              <w:rPr>
                <w:sz w:val="18"/>
                <w:szCs w:val="18"/>
              </w:rPr>
            </w:pPr>
            <w:r>
              <w:rPr>
                <w:sz w:val="18"/>
                <w:szCs w:val="18"/>
              </w:rPr>
              <w:t>N na zakończenie okresu leczenia podtrzymującego</w:t>
            </w:r>
          </w:p>
          <w:p w14:paraId="68D56E55" w14:textId="77777777" w:rsidR="00132F98" w:rsidRDefault="00584E7E">
            <w:pPr>
              <w:rPr>
                <w:sz w:val="18"/>
                <w:szCs w:val="18"/>
              </w:rPr>
            </w:pPr>
            <w:r>
              <w:rPr>
                <w:sz w:val="18"/>
                <w:szCs w:val="18"/>
              </w:rPr>
              <w:t>Mediana (wartość minimalna, wartość maksymalna)</w:t>
            </w:r>
          </w:p>
        </w:tc>
        <w:tc>
          <w:tcPr>
            <w:tcW w:w="992" w:type="dxa"/>
            <w:shd w:val="clear" w:color="auto" w:fill="auto"/>
          </w:tcPr>
          <w:p w14:paraId="68D56E56" w14:textId="77777777" w:rsidR="00132F98" w:rsidRDefault="00584E7E">
            <w:pPr>
              <w:jc w:val="center"/>
              <w:rPr>
                <w:sz w:val="18"/>
                <w:szCs w:val="18"/>
              </w:rPr>
            </w:pPr>
            <w:r>
              <w:rPr>
                <w:sz w:val="18"/>
                <w:szCs w:val="18"/>
              </w:rPr>
              <w:t>39</w:t>
            </w:r>
          </w:p>
          <w:p w14:paraId="68D56E57" w14:textId="77777777" w:rsidR="00132F98" w:rsidRDefault="00584E7E">
            <w:pPr>
              <w:jc w:val="center"/>
              <w:rPr>
                <w:sz w:val="18"/>
                <w:szCs w:val="18"/>
              </w:rPr>
            </w:pPr>
            <w:r>
              <w:rPr>
                <w:sz w:val="18"/>
                <w:szCs w:val="18"/>
              </w:rPr>
              <w:t>25,7</w:t>
            </w:r>
          </w:p>
          <w:p w14:paraId="68D56E58" w14:textId="77777777" w:rsidR="00132F98" w:rsidRDefault="00584E7E">
            <w:pPr>
              <w:jc w:val="center"/>
              <w:rPr>
                <w:sz w:val="18"/>
                <w:szCs w:val="18"/>
              </w:rPr>
            </w:pPr>
            <w:r>
              <w:rPr>
                <w:sz w:val="18"/>
                <w:szCs w:val="18"/>
              </w:rPr>
              <w:t>(3,6; 204,7)</w:t>
            </w:r>
          </w:p>
        </w:tc>
        <w:tc>
          <w:tcPr>
            <w:tcW w:w="1276" w:type="dxa"/>
            <w:shd w:val="clear" w:color="auto" w:fill="auto"/>
          </w:tcPr>
          <w:p w14:paraId="68D56E59" w14:textId="77777777" w:rsidR="00132F98" w:rsidRDefault="00584E7E">
            <w:pPr>
              <w:jc w:val="center"/>
              <w:rPr>
                <w:sz w:val="18"/>
                <w:szCs w:val="18"/>
              </w:rPr>
            </w:pPr>
            <w:r>
              <w:rPr>
                <w:sz w:val="18"/>
                <w:szCs w:val="18"/>
              </w:rPr>
              <w:t>39</w:t>
            </w:r>
          </w:p>
          <w:p w14:paraId="68D56E5A" w14:textId="77777777" w:rsidR="00132F98" w:rsidRDefault="00584E7E">
            <w:pPr>
              <w:jc w:val="center"/>
              <w:rPr>
                <w:sz w:val="18"/>
                <w:szCs w:val="18"/>
              </w:rPr>
            </w:pPr>
            <w:r>
              <w:rPr>
                <w:sz w:val="18"/>
                <w:szCs w:val="18"/>
              </w:rPr>
              <w:t>17,1</w:t>
            </w:r>
          </w:p>
          <w:p w14:paraId="68D56E5B" w14:textId="77777777" w:rsidR="00132F98" w:rsidRDefault="00584E7E">
            <w:pPr>
              <w:jc w:val="center"/>
              <w:rPr>
                <w:sz w:val="18"/>
                <w:szCs w:val="18"/>
              </w:rPr>
            </w:pPr>
            <w:r>
              <w:rPr>
                <w:sz w:val="18"/>
                <w:szCs w:val="18"/>
              </w:rPr>
              <w:t>(0,0; 194,3)</w:t>
            </w:r>
          </w:p>
        </w:tc>
        <w:tc>
          <w:tcPr>
            <w:tcW w:w="1276" w:type="dxa"/>
            <w:shd w:val="clear" w:color="auto" w:fill="auto"/>
          </w:tcPr>
          <w:p w14:paraId="68D56E5C" w14:textId="77777777" w:rsidR="00132F98" w:rsidRDefault="00584E7E">
            <w:pPr>
              <w:jc w:val="center"/>
              <w:rPr>
                <w:sz w:val="18"/>
                <w:szCs w:val="18"/>
              </w:rPr>
            </w:pPr>
            <w:r>
              <w:rPr>
                <w:sz w:val="18"/>
                <w:szCs w:val="18"/>
              </w:rPr>
              <w:t>40</w:t>
            </w:r>
          </w:p>
          <w:p w14:paraId="68D56E5D" w14:textId="77777777" w:rsidR="00132F98" w:rsidRDefault="00584E7E">
            <w:pPr>
              <w:jc w:val="center"/>
              <w:rPr>
                <w:sz w:val="18"/>
                <w:szCs w:val="18"/>
              </w:rPr>
            </w:pPr>
            <w:r>
              <w:rPr>
                <w:sz w:val="18"/>
                <w:szCs w:val="18"/>
              </w:rPr>
              <w:t>4,9</w:t>
            </w:r>
          </w:p>
          <w:p w14:paraId="68D56E5E" w14:textId="77777777" w:rsidR="00132F98" w:rsidRDefault="00584E7E">
            <w:pPr>
              <w:jc w:val="center"/>
              <w:rPr>
                <w:sz w:val="18"/>
                <w:szCs w:val="18"/>
              </w:rPr>
            </w:pPr>
            <w:r>
              <w:rPr>
                <w:sz w:val="18"/>
                <w:szCs w:val="18"/>
              </w:rPr>
              <w:t>(0; 105,5)</w:t>
            </w:r>
          </w:p>
        </w:tc>
        <w:tc>
          <w:tcPr>
            <w:tcW w:w="850" w:type="dxa"/>
            <w:shd w:val="clear" w:color="auto" w:fill="auto"/>
          </w:tcPr>
          <w:p w14:paraId="68D56E5F" w14:textId="77777777" w:rsidR="00132F98" w:rsidRDefault="00584E7E">
            <w:pPr>
              <w:jc w:val="center"/>
              <w:rPr>
                <w:sz w:val="18"/>
                <w:szCs w:val="18"/>
              </w:rPr>
            </w:pPr>
            <w:r>
              <w:rPr>
                <w:sz w:val="18"/>
                <w:szCs w:val="18"/>
              </w:rPr>
              <w:t>48</w:t>
            </w:r>
          </w:p>
          <w:p w14:paraId="68D56E60" w14:textId="77777777" w:rsidR="00132F98" w:rsidRDefault="00584E7E">
            <w:pPr>
              <w:jc w:val="center"/>
              <w:rPr>
                <w:sz w:val="18"/>
                <w:szCs w:val="18"/>
              </w:rPr>
            </w:pPr>
            <w:r>
              <w:rPr>
                <w:sz w:val="18"/>
                <w:szCs w:val="18"/>
              </w:rPr>
              <w:t>10,6</w:t>
            </w:r>
          </w:p>
          <w:p w14:paraId="68D56E61" w14:textId="77777777" w:rsidR="00132F98" w:rsidRDefault="00584E7E">
            <w:pPr>
              <w:tabs>
                <w:tab w:val="clear" w:pos="567"/>
              </w:tabs>
              <w:spacing w:line="240" w:lineRule="auto"/>
              <w:jc w:val="center"/>
              <w:textAlignment w:val="baseline"/>
              <w:rPr>
                <w:sz w:val="18"/>
                <w:szCs w:val="18"/>
              </w:rPr>
            </w:pPr>
            <w:r>
              <w:rPr>
                <w:sz w:val="18"/>
                <w:szCs w:val="18"/>
              </w:rPr>
              <w:t>(1,0; 139,0)</w:t>
            </w:r>
          </w:p>
        </w:tc>
        <w:tc>
          <w:tcPr>
            <w:tcW w:w="1276" w:type="dxa"/>
            <w:shd w:val="clear" w:color="auto" w:fill="auto"/>
          </w:tcPr>
          <w:p w14:paraId="68D56E62" w14:textId="77777777" w:rsidR="00132F98" w:rsidRDefault="00584E7E">
            <w:pPr>
              <w:jc w:val="center"/>
              <w:rPr>
                <w:sz w:val="18"/>
                <w:szCs w:val="18"/>
              </w:rPr>
            </w:pPr>
            <w:r>
              <w:rPr>
                <w:sz w:val="18"/>
                <w:szCs w:val="18"/>
              </w:rPr>
              <w:t>46</w:t>
            </w:r>
          </w:p>
          <w:p w14:paraId="68D56E63" w14:textId="77777777" w:rsidR="00132F98" w:rsidRDefault="00584E7E">
            <w:pPr>
              <w:jc w:val="center"/>
              <w:rPr>
                <w:sz w:val="18"/>
                <w:szCs w:val="18"/>
              </w:rPr>
            </w:pPr>
            <w:r>
              <w:rPr>
                <w:sz w:val="18"/>
                <w:szCs w:val="18"/>
              </w:rPr>
              <w:t>7,6</w:t>
            </w:r>
          </w:p>
          <w:p w14:paraId="68D56E64" w14:textId="77777777" w:rsidR="00132F98" w:rsidRDefault="00584E7E">
            <w:pPr>
              <w:jc w:val="center"/>
              <w:rPr>
                <w:sz w:val="18"/>
                <w:szCs w:val="18"/>
              </w:rPr>
            </w:pPr>
            <w:r>
              <w:rPr>
                <w:sz w:val="18"/>
                <w:szCs w:val="18"/>
              </w:rPr>
              <w:t>(0,0; 2006,8)</w:t>
            </w:r>
          </w:p>
        </w:tc>
        <w:tc>
          <w:tcPr>
            <w:tcW w:w="1417" w:type="dxa"/>
          </w:tcPr>
          <w:p w14:paraId="68D56E65" w14:textId="77777777" w:rsidR="00132F98" w:rsidRDefault="00584E7E">
            <w:pPr>
              <w:jc w:val="center"/>
              <w:rPr>
                <w:sz w:val="18"/>
                <w:szCs w:val="18"/>
              </w:rPr>
            </w:pPr>
            <w:r>
              <w:rPr>
                <w:sz w:val="18"/>
                <w:szCs w:val="18"/>
              </w:rPr>
              <w:t>48</w:t>
            </w:r>
          </w:p>
          <w:p w14:paraId="68D56E66" w14:textId="77777777" w:rsidR="00132F98" w:rsidRDefault="00584E7E">
            <w:pPr>
              <w:jc w:val="center"/>
              <w:rPr>
                <w:sz w:val="18"/>
                <w:szCs w:val="18"/>
              </w:rPr>
            </w:pPr>
            <w:r>
              <w:rPr>
                <w:sz w:val="18"/>
                <w:szCs w:val="18"/>
              </w:rPr>
              <w:t>3,2</w:t>
            </w:r>
          </w:p>
          <w:p w14:paraId="68D56E67" w14:textId="77777777" w:rsidR="00132F98" w:rsidRDefault="00584E7E">
            <w:pPr>
              <w:jc w:val="center"/>
              <w:rPr>
                <w:sz w:val="18"/>
                <w:szCs w:val="18"/>
              </w:rPr>
            </w:pPr>
            <w:r>
              <w:rPr>
                <w:sz w:val="18"/>
                <w:szCs w:val="18"/>
              </w:rPr>
              <w:t>(0,0; 3651,7)</w:t>
            </w:r>
          </w:p>
        </w:tc>
      </w:tr>
      <w:tr w:rsidR="00132F98" w14:paraId="68D56E75" w14:textId="77777777">
        <w:trPr>
          <w:trHeight w:val="737"/>
        </w:trPr>
        <w:tc>
          <w:tcPr>
            <w:tcW w:w="1398" w:type="dxa"/>
            <w:shd w:val="clear" w:color="auto" w:fill="auto"/>
          </w:tcPr>
          <w:p w14:paraId="68D56E69" w14:textId="77777777" w:rsidR="00132F98" w:rsidRDefault="00132F98">
            <w:pPr>
              <w:pStyle w:val="paragraph"/>
              <w:spacing w:before="0" w:beforeAutospacing="0" w:after="0" w:afterAutospacing="0"/>
              <w:textAlignment w:val="baseline"/>
              <w:rPr>
                <w:rFonts w:cs="Times New Roman"/>
                <w:b/>
                <w:bCs/>
                <w:sz w:val="18"/>
                <w:szCs w:val="18"/>
              </w:rPr>
            </w:pPr>
          </w:p>
        </w:tc>
        <w:tc>
          <w:tcPr>
            <w:tcW w:w="1149" w:type="dxa"/>
            <w:shd w:val="clear" w:color="auto" w:fill="auto"/>
          </w:tcPr>
          <w:p w14:paraId="68D56E6A" w14:textId="77777777" w:rsidR="00132F98" w:rsidRDefault="00584E7E">
            <w:pPr>
              <w:pStyle w:val="paragraph"/>
              <w:spacing w:before="0" w:beforeAutospacing="0" w:after="0" w:afterAutospacing="0"/>
              <w:textAlignment w:val="baseline"/>
              <w:rPr>
                <w:rFonts w:cs="Times New Roman"/>
                <w:sz w:val="18"/>
                <w:szCs w:val="18"/>
              </w:rPr>
            </w:pPr>
            <w:r>
              <w:rPr>
                <w:sz w:val="18"/>
                <w:szCs w:val="18"/>
              </w:rPr>
              <w:t>Zmniejszenie średniej miesięcznej częstości napadów padaczkowych, skorygowanej względem wartości początkowych, w porównaniu do placebo</w:t>
            </w:r>
          </w:p>
        </w:tc>
        <w:tc>
          <w:tcPr>
            <w:tcW w:w="992" w:type="dxa"/>
            <w:shd w:val="clear" w:color="auto" w:fill="auto"/>
          </w:tcPr>
          <w:p w14:paraId="68D56E6B" w14:textId="77777777" w:rsidR="00132F98" w:rsidRDefault="00584E7E">
            <w:pPr>
              <w:jc w:val="center"/>
              <w:rPr>
                <w:sz w:val="18"/>
                <w:szCs w:val="18"/>
              </w:rPr>
            </w:pPr>
            <w:r>
              <w:rPr>
                <w:sz w:val="18"/>
                <w:szCs w:val="18"/>
              </w:rPr>
              <w:t>-</w:t>
            </w:r>
          </w:p>
        </w:tc>
        <w:tc>
          <w:tcPr>
            <w:tcW w:w="1276" w:type="dxa"/>
            <w:shd w:val="clear" w:color="auto" w:fill="auto"/>
          </w:tcPr>
          <w:p w14:paraId="68D56E6C" w14:textId="77777777" w:rsidR="00132F98" w:rsidRDefault="00584E7E">
            <w:pPr>
              <w:jc w:val="center"/>
              <w:rPr>
                <w:sz w:val="18"/>
                <w:szCs w:val="18"/>
              </w:rPr>
            </w:pPr>
            <w:r>
              <w:rPr>
                <w:sz w:val="18"/>
                <w:szCs w:val="18"/>
              </w:rPr>
              <w:t>36,7%</w:t>
            </w:r>
          </w:p>
          <w:p w14:paraId="68D56E6D" w14:textId="77777777" w:rsidR="00132F98" w:rsidRDefault="00584E7E">
            <w:pPr>
              <w:jc w:val="center"/>
              <w:textAlignment w:val="baseline"/>
              <w:rPr>
                <w:sz w:val="18"/>
                <w:szCs w:val="18"/>
              </w:rPr>
            </w:pPr>
            <w:r>
              <w:rPr>
                <w:sz w:val="18"/>
                <w:szCs w:val="18"/>
              </w:rPr>
              <w:t>p=0,016</w:t>
            </w:r>
          </w:p>
        </w:tc>
        <w:tc>
          <w:tcPr>
            <w:tcW w:w="1276" w:type="dxa"/>
            <w:shd w:val="clear" w:color="auto" w:fill="auto"/>
          </w:tcPr>
          <w:p w14:paraId="68D56E6E" w14:textId="77777777" w:rsidR="00132F98" w:rsidRDefault="00584E7E">
            <w:pPr>
              <w:jc w:val="center"/>
              <w:rPr>
                <w:sz w:val="18"/>
                <w:szCs w:val="18"/>
              </w:rPr>
            </w:pPr>
            <w:r>
              <w:rPr>
                <w:sz w:val="18"/>
                <w:szCs w:val="18"/>
              </w:rPr>
              <w:t>67,3%</w:t>
            </w:r>
          </w:p>
          <w:p w14:paraId="68D56E6F" w14:textId="77777777" w:rsidR="00132F98" w:rsidRDefault="00584E7E">
            <w:pPr>
              <w:jc w:val="center"/>
              <w:textAlignment w:val="baseline"/>
              <w:rPr>
                <w:sz w:val="18"/>
                <w:szCs w:val="18"/>
              </w:rPr>
            </w:pPr>
            <w:r>
              <w:rPr>
                <w:sz w:val="18"/>
                <w:szCs w:val="18"/>
              </w:rPr>
              <w:t>p&lt;0,001</w:t>
            </w:r>
          </w:p>
        </w:tc>
        <w:tc>
          <w:tcPr>
            <w:tcW w:w="850" w:type="dxa"/>
            <w:shd w:val="clear" w:color="auto" w:fill="auto"/>
          </w:tcPr>
          <w:p w14:paraId="68D56E70" w14:textId="77777777" w:rsidR="00132F98" w:rsidRDefault="00584E7E">
            <w:pPr>
              <w:tabs>
                <w:tab w:val="clear" w:pos="567"/>
              </w:tabs>
              <w:spacing w:line="240" w:lineRule="auto"/>
              <w:jc w:val="center"/>
              <w:textAlignment w:val="baseline"/>
              <w:rPr>
                <w:sz w:val="18"/>
                <w:szCs w:val="18"/>
              </w:rPr>
            </w:pPr>
            <w:r>
              <w:rPr>
                <w:sz w:val="18"/>
                <w:szCs w:val="18"/>
              </w:rPr>
              <w:t>-</w:t>
            </w:r>
          </w:p>
        </w:tc>
        <w:tc>
          <w:tcPr>
            <w:tcW w:w="1276" w:type="dxa"/>
            <w:shd w:val="clear" w:color="auto" w:fill="auto"/>
          </w:tcPr>
          <w:p w14:paraId="68D56E71" w14:textId="77777777" w:rsidR="00132F98" w:rsidRDefault="00584E7E">
            <w:pPr>
              <w:jc w:val="center"/>
              <w:rPr>
                <w:sz w:val="18"/>
                <w:szCs w:val="18"/>
              </w:rPr>
            </w:pPr>
            <w:r>
              <w:rPr>
                <w:sz w:val="18"/>
                <w:szCs w:val="18"/>
              </w:rPr>
              <w:t>49,3%</w:t>
            </w:r>
          </w:p>
          <w:p w14:paraId="68D56E72" w14:textId="77777777" w:rsidR="00132F98" w:rsidRDefault="00584E7E">
            <w:pPr>
              <w:tabs>
                <w:tab w:val="clear" w:pos="567"/>
              </w:tabs>
              <w:spacing w:line="240" w:lineRule="auto"/>
              <w:jc w:val="center"/>
              <w:textAlignment w:val="baseline"/>
              <w:rPr>
                <w:rFonts w:cs="Arial"/>
                <w:sz w:val="18"/>
                <w:szCs w:val="18"/>
              </w:rPr>
            </w:pPr>
            <w:r>
              <w:rPr>
                <w:sz w:val="18"/>
                <w:szCs w:val="18"/>
              </w:rPr>
              <w:t>p&lt; 0,0001</w:t>
            </w:r>
          </w:p>
        </w:tc>
        <w:tc>
          <w:tcPr>
            <w:tcW w:w="1417" w:type="dxa"/>
          </w:tcPr>
          <w:p w14:paraId="68D56E73" w14:textId="77777777" w:rsidR="00132F98" w:rsidRDefault="00584E7E">
            <w:pPr>
              <w:jc w:val="center"/>
              <w:rPr>
                <w:sz w:val="18"/>
                <w:szCs w:val="18"/>
              </w:rPr>
            </w:pPr>
            <w:r>
              <w:rPr>
                <w:sz w:val="18"/>
                <w:szCs w:val="18"/>
              </w:rPr>
              <w:t>65,7%</w:t>
            </w:r>
          </w:p>
          <w:p w14:paraId="68D56E74" w14:textId="77777777" w:rsidR="00132F98" w:rsidRDefault="00584E7E">
            <w:pPr>
              <w:tabs>
                <w:tab w:val="clear" w:pos="567"/>
              </w:tabs>
              <w:spacing w:line="240" w:lineRule="auto"/>
              <w:jc w:val="center"/>
              <w:textAlignment w:val="baseline"/>
              <w:rPr>
                <w:sz w:val="18"/>
                <w:szCs w:val="18"/>
              </w:rPr>
            </w:pPr>
            <w:r>
              <w:rPr>
                <w:sz w:val="18"/>
                <w:szCs w:val="18"/>
              </w:rPr>
              <w:t>p&lt; 0,0001</w:t>
            </w:r>
          </w:p>
        </w:tc>
      </w:tr>
      <w:tr w:rsidR="00132F98" w14:paraId="68D56E8C" w14:textId="77777777">
        <w:trPr>
          <w:trHeight w:val="737"/>
        </w:trPr>
        <w:tc>
          <w:tcPr>
            <w:tcW w:w="1398" w:type="dxa"/>
            <w:shd w:val="clear" w:color="auto" w:fill="auto"/>
          </w:tcPr>
          <w:p w14:paraId="68D56E76" w14:textId="77777777" w:rsidR="00132F98" w:rsidRDefault="00584E7E">
            <w:pPr>
              <w:pStyle w:val="paragraph"/>
              <w:spacing w:before="0" w:beforeAutospacing="0" w:after="0" w:afterAutospacing="0"/>
              <w:textAlignment w:val="baseline"/>
              <w:rPr>
                <w:rFonts w:cs="Times New Roman"/>
                <w:sz w:val="18"/>
                <w:szCs w:val="18"/>
              </w:rPr>
            </w:pPr>
            <w:r>
              <w:rPr>
                <w:rFonts w:cs="Times New Roman"/>
                <w:b/>
                <w:bCs/>
                <w:sz w:val="18"/>
                <w:szCs w:val="18"/>
              </w:rPr>
              <w:t xml:space="preserve">% zmniejszenie częstości napadów </w:t>
            </w:r>
            <w:r>
              <w:rPr>
                <w:rFonts w:cs="Times New Roman"/>
                <w:b/>
                <w:bCs/>
                <w:sz w:val="18"/>
                <w:szCs w:val="18"/>
              </w:rPr>
              <w:t>padaczkowych</w:t>
            </w:r>
          </w:p>
          <w:p w14:paraId="68D56E77" w14:textId="77777777" w:rsidR="00132F98" w:rsidRDefault="00132F98">
            <w:pPr>
              <w:pStyle w:val="paragraph"/>
              <w:spacing w:before="0" w:beforeAutospacing="0" w:after="0" w:afterAutospacing="0"/>
              <w:textAlignment w:val="baseline"/>
              <w:rPr>
                <w:rFonts w:cs="Times New Roman"/>
                <w:sz w:val="18"/>
                <w:szCs w:val="18"/>
              </w:rPr>
            </w:pPr>
          </w:p>
          <w:p w14:paraId="68D56E78" w14:textId="77777777" w:rsidR="00132F98" w:rsidRDefault="00584E7E">
            <w:pPr>
              <w:rPr>
                <w:b/>
                <w:sz w:val="18"/>
                <w:szCs w:val="18"/>
              </w:rPr>
            </w:pPr>
            <w:r>
              <w:rPr>
                <w:b/>
                <w:sz w:val="18"/>
                <w:szCs w:val="18"/>
              </w:rPr>
              <w:t>Okres leczenia podtrzymującego</w:t>
            </w:r>
            <w:r>
              <w:rPr>
                <w:sz w:val="18"/>
                <w:szCs w:val="18"/>
              </w:rPr>
              <w:t> </w:t>
            </w:r>
          </w:p>
        </w:tc>
        <w:tc>
          <w:tcPr>
            <w:tcW w:w="1149" w:type="dxa"/>
            <w:shd w:val="clear" w:color="auto" w:fill="auto"/>
          </w:tcPr>
          <w:p w14:paraId="68D56E79"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18"/>
                <w:szCs w:val="18"/>
              </w:rPr>
              <w:t>Liczba (%) pacjentów z ≥50% zmniejszeniem miesięcznej częstości napadów padaczkowych — zmiana względem wartości początkowej</w:t>
            </w:r>
          </w:p>
          <w:p w14:paraId="68D56E7A" w14:textId="77777777" w:rsidR="00132F98" w:rsidRDefault="00584E7E">
            <w:pPr>
              <w:rPr>
                <w:sz w:val="18"/>
                <w:szCs w:val="18"/>
              </w:rPr>
            </w:pPr>
            <w:r>
              <w:rPr>
                <w:sz w:val="18"/>
                <w:szCs w:val="18"/>
              </w:rPr>
              <w:t>Wielkość efektu</w:t>
            </w:r>
            <w:r>
              <w:rPr>
                <w:sz w:val="18"/>
                <w:szCs w:val="18"/>
                <w:vertAlign w:val="superscript"/>
              </w:rPr>
              <w:t>1</w:t>
            </w:r>
          </w:p>
          <w:p w14:paraId="68D56E7B" w14:textId="77777777" w:rsidR="00132F98" w:rsidRDefault="00584E7E">
            <w:pPr>
              <w:rPr>
                <w:sz w:val="18"/>
                <w:szCs w:val="18"/>
              </w:rPr>
            </w:pPr>
            <w:r>
              <w:rPr>
                <w:sz w:val="18"/>
                <w:szCs w:val="18"/>
              </w:rPr>
              <w:t>Ryzyko względne </w:t>
            </w:r>
          </w:p>
        </w:tc>
        <w:tc>
          <w:tcPr>
            <w:tcW w:w="992" w:type="dxa"/>
            <w:shd w:val="clear" w:color="auto" w:fill="auto"/>
          </w:tcPr>
          <w:p w14:paraId="68D56E7C" w14:textId="77777777" w:rsidR="00132F98" w:rsidRDefault="00584E7E">
            <w:pPr>
              <w:jc w:val="center"/>
              <w:rPr>
                <w:sz w:val="18"/>
                <w:szCs w:val="18"/>
              </w:rPr>
            </w:pPr>
            <w:r>
              <w:rPr>
                <w:sz w:val="18"/>
                <w:szCs w:val="18"/>
              </w:rPr>
              <w:t>4 (10,3%) </w:t>
            </w:r>
          </w:p>
        </w:tc>
        <w:tc>
          <w:tcPr>
            <w:tcW w:w="1276" w:type="dxa"/>
            <w:shd w:val="clear" w:color="auto" w:fill="auto"/>
          </w:tcPr>
          <w:p w14:paraId="68D56E7D" w14:textId="77777777" w:rsidR="00132F98" w:rsidRDefault="00584E7E">
            <w:pPr>
              <w:jc w:val="center"/>
              <w:textAlignment w:val="baseline"/>
              <w:rPr>
                <w:rFonts w:ascii="Segoe UI" w:hAnsi="Segoe UI" w:cs="Segoe UI"/>
                <w:sz w:val="18"/>
                <w:szCs w:val="18"/>
              </w:rPr>
            </w:pPr>
            <w:r>
              <w:rPr>
                <w:sz w:val="18"/>
                <w:szCs w:val="18"/>
              </w:rPr>
              <w:t>17 (43,6%) </w:t>
            </w:r>
          </w:p>
          <w:p w14:paraId="68D56E7E" w14:textId="77777777" w:rsidR="00132F98" w:rsidRDefault="00584E7E">
            <w:pPr>
              <w:jc w:val="center"/>
              <w:rPr>
                <w:sz w:val="18"/>
                <w:szCs w:val="18"/>
              </w:rPr>
            </w:pPr>
            <w:r>
              <w:rPr>
                <w:sz w:val="18"/>
                <w:szCs w:val="18"/>
              </w:rPr>
              <w:t xml:space="preserve">ES=33,3% </w:t>
            </w:r>
          </w:p>
          <w:p w14:paraId="68D56E7F" w14:textId="77777777" w:rsidR="00132F98" w:rsidRDefault="00584E7E">
            <w:pPr>
              <w:jc w:val="center"/>
              <w:rPr>
                <w:sz w:val="18"/>
                <w:szCs w:val="18"/>
              </w:rPr>
            </w:pPr>
            <w:r>
              <w:rPr>
                <w:sz w:val="18"/>
                <w:szCs w:val="18"/>
              </w:rPr>
              <w:t>RR: 4,25</w:t>
            </w:r>
          </w:p>
        </w:tc>
        <w:tc>
          <w:tcPr>
            <w:tcW w:w="1276" w:type="dxa"/>
            <w:shd w:val="clear" w:color="auto" w:fill="auto"/>
          </w:tcPr>
          <w:p w14:paraId="68D56E80" w14:textId="77777777" w:rsidR="00132F98" w:rsidRDefault="00584E7E">
            <w:pPr>
              <w:jc w:val="center"/>
              <w:textAlignment w:val="baseline"/>
              <w:rPr>
                <w:rFonts w:ascii="Segoe UI" w:hAnsi="Segoe UI" w:cs="Segoe UI"/>
                <w:sz w:val="18"/>
                <w:szCs w:val="18"/>
              </w:rPr>
            </w:pPr>
            <w:r>
              <w:rPr>
                <w:sz w:val="18"/>
                <w:szCs w:val="18"/>
              </w:rPr>
              <w:t xml:space="preserve">29 </w:t>
            </w:r>
            <w:r>
              <w:rPr>
                <w:sz w:val="18"/>
                <w:szCs w:val="18"/>
              </w:rPr>
              <w:t>(72,5%) </w:t>
            </w:r>
          </w:p>
          <w:p w14:paraId="68D56E81" w14:textId="77777777" w:rsidR="00132F98" w:rsidRDefault="00584E7E">
            <w:pPr>
              <w:jc w:val="center"/>
              <w:rPr>
                <w:sz w:val="18"/>
                <w:szCs w:val="18"/>
              </w:rPr>
            </w:pPr>
            <w:r>
              <w:rPr>
                <w:sz w:val="18"/>
                <w:szCs w:val="18"/>
              </w:rPr>
              <w:t xml:space="preserve">ES=62,2% </w:t>
            </w:r>
          </w:p>
          <w:p w14:paraId="68D56E82" w14:textId="77777777" w:rsidR="00132F98" w:rsidRDefault="00584E7E">
            <w:pPr>
              <w:jc w:val="center"/>
              <w:rPr>
                <w:sz w:val="18"/>
                <w:szCs w:val="18"/>
              </w:rPr>
            </w:pPr>
            <w:r>
              <w:rPr>
                <w:sz w:val="18"/>
                <w:szCs w:val="18"/>
              </w:rPr>
              <w:t>RR: 7,07</w:t>
            </w:r>
          </w:p>
        </w:tc>
        <w:tc>
          <w:tcPr>
            <w:tcW w:w="850" w:type="dxa"/>
            <w:shd w:val="clear" w:color="auto" w:fill="auto"/>
          </w:tcPr>
          <w:p w14:paraId="68D56E83" w14:textId="77777777" w:rsidR="00132F98" w:rsidRDefault="00584E7E">
            <w:pPr>
              <w:jc w:val="center"/>
              <w:rPr>
                <w:sz w:val="18"/>
                <w:szCs w:val="18"/>
              </w:rPr>
            </w:pPr>
            <w:r>
              <w:rPr>
                <w:sz w:val="18"/>
                <w:szCs w:val="18"/>
              </w:rPr>
              <w:t>4 (8,3%)</w:t>
            </w:r>
          </w:p>
        </w:tc>
        <w:tc>
          <w:tcPr>
            <w:tcW w:w="1276" w:type="dxa"/>
            <w:shd w:val="clear" w:color="auto" w:fill="auto"/>
          </w:tcPr>
          <w:p w14:paraId="68D56E84" w14:textId="77777777" w:rsidR="00132F98" w:rsidRDefault="00584E7E">
            <w:pPr>
              <w:tabs>
                <w:tab w:val="clear" w:pos="567"/>
              </w:tabs>
              <w:spacing w:line="240" w:lineRule="auto"/>
              <w:jc w:val="center"/>
              <w:textAlignment w:val="baseline"/>
              <w:rPr>
                <w:rFonts w:cs="Arial"/>
                <w:sz w:val="18"/>
                <w:szCs w:val="18"/>
              </w:rPr>
            </w:pPr>
            <w:r>
              <w:rPr>
                <w:rFonts w:cs="Arial"/>
                <w:sz w:val="18"/>
                <w:szCs w:val="18"/>
              </w:rPr>
              <w:t>21 (45,7%)</w:t>
            </w:r>
          </w:p>
          <w:p w14:paraId="68D56E85" w14:textId="77777777" w:rsidR="00132F98" w:rsidRDefault="00584E7E">
            <w:pPr>
              <w:tabs>
                <w:tab w:val="clear" w:pos="567"/>
              </w:tabs>
              <w:spacing w:line="240" w:lineRule="auto"/>
              <w:jc w:val="center"/>
              <w:textAlignment w:val="baseline"/>
              <w:rPr>
                <w:rFonts w:cs="Arial"/>
                <w:sz w:val="18"/>
                <w:szCs w:val="18"/>
              </w:rPr>
            </w:pPr>
            <w:r>
              <w:rPr>
                <w:rFonts w:cs="Arial"/>
                <w:sz w:val="18"/>
                <w:szCs w:val="18"/>
              </w:rPr>
              <w:t xml:space="preserve">ES=37,3% </w:t>
            </w:r>
          </w:p>
          <w:p w14:paraId="68D56E86" w14:textId="77777777" w:rsidR="00132F98" w:rsidRDefault="00584E7E">
            <w:pPr>
              <w:tabs>
                <w:tab w:val="clear" w:pos="567"/>
              </w:tabs>
              <w:spacing w:line="240" w:lineRule="auto"/>
              <w:jc w:val="center"/>
              <w:textAlignment w:val="baseline"/>
              <w:rPr>
                <w:rFonts w:cs="Arial"/>
                <w:sz w:val="18"/>
                <w:szCs w:val="18"/>
              </w:rPr>
            </w:pPr>
            <w:r>
              <w:rPr>
                <w:rFonts w:cs="Arial"/>
                <w:sz w:val="18"/>
                <w:szCs w:val="18"/>
              </w:rPr>
              <w:t>RR: 5,48</w:t>
            </w:r>
          </w:p>
          <w:p w14:paraId="68D56E87" w14:textId="77777777" w:rsidR="00132F98" w:rsidRDefault="00132F98">
            <w:pPr>
              <w:jc w:val="center"/>
              <w:rPr>
                <w:sz w:val="18"/>
                <w:szCs w:val="18"/>
              </w:rPr>
            </w:pPr>
          </w:p>
        </w:tc>
        <w:tc>
          <w:tcPr>
            <w:tcW w:w="1417" w:type="dxa"/>
          </w:tcPr>
          <w:p w14:paraId="68D56E88" w14:textId="77777777" w:rsidR="00132F98" w:rsidRDefault="00584E7E">
            <w:pPr>
              <w:tabs>
                <w:tab w:val="clear" w:pos="567"/>
              </w:tabs>
              <w:spacing w:line="240" w:lineRule="auto"/>
              <w:jc w:val="center"/>
              <w:textAlignment w:val="baseline"/>
              <w:rPr>
                <w:sz w:val="18"/>
                <w:szCs w:val="18"/>
              </w:rPr>
            </w:pPr>
            <w:r>
              <w:rPr>
                <w:sz w:val="18"/>
                <w:szCs w:val="18"/>
              </w:rPr>
              <w:t>33 (68,8%)</w:t>
            </w:r>
          </w:p>
          <w:p w14:paraId="68D56E89" w14:textId="77777777" w:rsidR="00132F98" w:rsidRDefault="00584E7E">
            <w:pPr>
              <w:tabs>
                <w:tab w:val="clear" w:pos="567"/>
              </w:tabs>
              <w:spacing w:line="240" w:lineRule="auto"/>
              <w:jc w:val="center"/>
              <w:textAlignment w:val="baseline"/>
              <w:rPr>
                <w:sz w:val="18"/>
                <w:szCs w:val="18"/>
              </w:rPr>
            </w:pPr>
            <w:r>
              <w:rPr>
                <w:sz w:val="18"/>
                <w:szCs w:val="18"/>
              </w:rPr>
              <w:t xml:space="preserve">ES=60,4% </w:t>
            </w:r>
          </w:p>
          <w:p w14:paraId="68D56E8A" w14:textId="77777777" w:rsidR="00132F98" w:rsidRDefault="00584E7E">
            <w:pPr>
              <w:tabs>
                <w:tab w:val="clear" w:pos="567"/>
              </w:tabs>
              <w:spacing w:line="240" w:lineRule="auto"/>
              <w:jc w:val="center"/>
              <w:textAlignment w:val="baseline"/>
              <w:rPr>
                <w:sz w:val="18"/>
                <w:szCs w:val="18"/>
              </w:rPr>
            </w:pPr>
            <w:r>
              <w:rPr>
                <w:sz w:val="18"/>
                <w:szCs w:val="18"/>
              </w:rPr>
              <w:t>RR: 8,25</w:t>
            </w:r>
          </w:p>
          <w:p w14:paraId="68D56E8B" w14:textId="77777777" w:rsidR="00132F98" w:rsidRDefault="00132F98">
            <w:pPr>
              <w:pStyle w:val="paragraph"/>
              <w:spacing w:before="0" w:beforeAutospacing="0" w:after="0" w:afterAutospacing="0"/>
              <w:jc w:val="center"/>
              <w:textAlignment w:val="baseline"/>
              <w:rPr>
                <w:rFonts w:cs="Times New Roman"/>
                <w:sz w:val="18"/>
                <w:szCs w:val="18"/>
              </w:rPr>
            </w:pPr>
          </w:p>
        </w:tc>
      </w:tr>
      <w:tr w:rsidR="00132F98" w14:paraId="68D56E9F" w14:textId="77777777">
        <w:trPr>
          <w:trHeight w:val="737"/>
          <w:tblHeader/>
        </w:trPr>
        <w:tc>
          <w:tcPr>
            <w:tcW w:w="1398" w:type="dxa"/>
            <w:shd w:val="clear" w:color="auto" w:fill="auto"/>
          </w:tcPr>
          <w:p w14:paraId="68D56E8D" w14:textId="77777777" w:rsidR="00132F98" w:rsidRDefault="00132F98">
            <w:pPr>
              <w:rPr>
                <w:sz w:val="18"/>
                <w:szCs w:val="18"/>
              </w:rPr>
            </w:pPr>
          </w:p>
        </w:tc>
        <w:tc>
          <w:tcPr>
            <w:tcW w:w="1149" w:type="dxa"/>
            <w:shd w:val="clear" w:color="auto" w:fill="auto"/>
          </w:tcPr>
          <w:p w14:paraId="68D56E8E"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18"/>
                <w:szCs w:val="18"/>
              </w:rPr>
              <w:t xml:space="preserve">Liczba (%) pacjentów z ≥75% zmniejszeniem miesięcznej częstości napadów </w:t>
            </w:r>
            <w:r>
              <w:rPr>
                <w:rFonts w:cs="Times New Roman"/>
                <w:sz w:val="18"/>
                <w:szCs w:val="18"/>
              </w:rPr>
              <w:lastRenderedPageBreak/>
              <w:t>padaczkowych — zmiana względem wartości początkowej</w:t>
            </w:r>
          </w:p>
          <w:p w14:paraId="68D56E8F" w14:textId="77777777" w:rsidR="00132F98" w:rsidRDefault="00584E7E">
            <w:pPr>
              <w:rPr>
                <w:sz w:val="18"/>
                <w:szCs w:val="18"/>
              </w:rPr>
            </w:pPr>
            <w:r>
              <w:rPr>
                <w:sz w:val="18"/>
                <w:szCs w:val="18"/>
              </w:rPr>
              <w:t>Wielkość efektu</w:t>
            </w:r>
            <w:r>
              <w:rPr>
                <w:sz w:val="18"/>
                <w:szCs w:val="18"/>
                <w:vertAlign w:val="superscript"/>
              </w:rPr>
              <w:t>1</w:t>
            </w:r>
          </w:p>
          <w:p w14:paraId="68D56E90" w14:textId="77777777" w:rsidR="00132F98" w:rsidRDefault="00584E7E">
            <w:pPr>
              <w:rPr>
                <w:sz w:val="18"/>
                <w:szCs w:val="18"/>
              </w:rPr>
            </w:pPr>
            <w:r>
              <w:rPr>
                <w:sz w:val="18"/>
                <w:szCs w:val="18"/>
              </w:rPr>
              <w:t xml:space="preserve">Ryzyko </w:t>
            </w:r>
            <w:r>
              <w:rPr>
                <w:sz w:val="18"/>
                <w:szCs w:val="18"/>
              </w:rPr>
              <w:t>względne</w:t>
            </w:r>
          </w:p>
        </w:tc>
        <w:tc>
          <w:tcPr>
            <w:tcW w:w="992" w:type="dxa"/>
            <w:shd w:val="clear" w:color="auto" w:fill="auto"/>
          </w:tcPr>
          <w:p w14:paraId="68D56E91" w14:textId="77777777" w:rsidR="00132F98" w:rsidRDefault="00584E7E">
            <w:pPr>
              <w:jc w:val="center"/>
              <w:rPr>
                <w:sz w:val="18"/>
                <w:szCs w:val="18"/>
              </w:rPr>
            </w:pPr>
            <w:r>
              <w:rPr>
                <w:sz w:val="18"/>
                <w:szCs w:val="18"/>
              </w:rPr>
              <w:lastRenderedPageBreak/>
              <w:t>2 (5,1%) </w:t>
            </w:r>
          </w:p>
        </w:tc>
        <w:tc>
          <w:tcPr>
            <w:tcW w:w="1276" w:type="dxa"/>
            <w:shd w:val="clear" w:color="auto" w:fill="auto"/>
          </w:tcPr>
          <w:p w14:paraId="68D56E92" w14:textId="77777777" w:rsidR="00132F98" w:rsidRDefault="00584E7E">
            <w:pPr>
              <w:pStyle w:val="paragraph"/>
              <w:spacing w:before="0" w:beforeAutospacing="0" w:after="0" w:afterAutospacing="0"/>
              <w:jc w:val="center"/>
              <w:textAlignment w:val="baseline"/>
              <w:rPr>
                <w:rFonts w:cs="Times New Roman"/>
                <w:sz w:val="18"/>
                <w:szCs w:val="18"/>
              </w:rPr>
            </w:pPr>
            <w:r>
              <w:rPr>
                <w:rFonts w:cs="Times New Roman"/>
                <w:sz w:val="18"/>
                <w:szCs w:val="18"/>
              </w:rPr>
              <w:t>10 (25,6%)</w:t>
            </w:r>
          </w:p>
          <w:p w14:paraId="68D56E93" w14:textId="77777777" w:rsidR="00132F98" w:rsidRDefault="00584E7E">
            <w:pPr>
              <w:keepNext/>
              <w:keepLines/>
              <w:jc w:val="center"/>
              <w:rPr>
                <w:sz w:val="18"/>
                <w:szCs w:val="18"/>
              </w:rPr>
            </w:pPr>
            <w:r>
              <w:rPr>
                <w:sz w:val="18"/>
                <w:szCs w:val="18"/>
              </w:rPr>
              <w:t>ES=20,5%</w:t>
            </w:r>
          </w:p>
          <w:p w14:paraId="68D56E94" w14:textId="77777777" w:rsidR="00132F98" w:rsidRDefault="00584E7E">
            <w:pPr>
              <w:jc w:val="center"/>
              <w:rPr>
                <w:sz w:val="18"/>
                <w:szCs w:val="18"/>
              </w:rPr>
            </w:pPr>
            <w:r>
              <w:rPr>
                <w:sz w:val="18"/>
                <w:szCs w:val="18"/>
              </w:rPr>
              <w:t>RR: 5,00</w:t>
            </w:r>
          </w:p>
        </w:tc>
        <w:tc>
          <w:tcPr>
            <w:tcW w:w="1276" w:type="dxa"/>
            <w:shd w:val="clear" w:color="auto" w:fill="auto"/>
          </w:tcPr>
          <w:p w14:paraId="68D56E95" w14:textId="77777777" w:rsidR="00132F98" w:rsidRDefault="00584E7E">
            <w:pPr>
              <w:pStyle w:val="paragraph"/>
              <w:spacing w:before="0" w:beforeAutospacing="0" w:after="0" w:afterAutospacing="0"/>
              <w:jc w:val="center"/>
              <w:textAlignment w:val="baseline"/>
              <w:rPr>
                <w:rFonts w:cs="Times New Roman"/>
                <w:sz w:val="18"/>
                <w:szCs w:val="18"/>
              </w:rPr>
            </w:pPr>
            <w:r>
              <w:rPr>
                <w:rFonts w:cs="Times New Roman"/>
                <w:sz w:val="18"/>
                <w:szCs w:val="18"/>
              </w:rPr>
              <w:t>21 (52,5%)</w:t>
            </w:r>
          </w:p>
          <w:p w14:paraId="68D56E96" w14:textId="77777777" w:rsidR="00132F98" w:rsidRDefault="00584E7E">
            <w:pPr>
              <w:keepNext/>
              <w:keepLines/>
              <w:jc w:val="center"/>
              <w:rPr>
                <w:sz w:val="18"/>
                <w:szCs w:val="18"/>
              </w:rPr>
            </w:pPr>
            <w:r>
              <w:rPr>
                <w:sz w:val="18"/>
                <w:szCs w:val="18"/>
              </w:rPr>
              <w:t>ES=47,4%</w:t>
            </w:r>
          </w:p>
          <w:p w14:paraId="68D56E97" w14:textId="77777777" w:rsidR="00132F98" w:rsidRDefault="00584E7E">
            <w:pPr>
              <w:jc w:val="center"/>
              <w:rPr>
                <w:sz w:val="18"/>
                <w:szCs w:val="18"/>
              </w:rPr>
            </w:pPr>
            <w:r>
              <w:rPr>
                <w:sz w:val="18"/>
                <w:szCs w:val="18"/>
              </w:rPr>
              <w:t>RR: 10,24</w:t>
            </w:r>
          </w:p>
        </w:tc>
        <w:tc>
          <w:tcPr>
            <w:tcW w:w="850" w:type="dxa"/>
            <w:shd w:val="clear" w:color="auto" w:fill="auto"/>
          </w:tcPr>
          <w:p w14:paraId="68D56E98" w14:textId="77777777" w:rsidR="00132F98" w:rsidRDefault="00584E7E">
            <w:pPr>
              <w:jc w:val="center"/>
              <w:rPr>
                <w:sz w:val="18"/>
                <w:szCs w:val="18"/>
              </w:rPr>
            </w:pPr>
            <w:r>
              <w:rPr>
                <w:sz w:val="18"/>
                <w:szCs w:val="18"/>
              </w:rPr>
              <w:t>2 (4,2%)</w:t>
            </w:r>
          </w:p>
        </w:tc>
        <w:tc>
          <w:tcPr>
            <w:tcW w:w="1276" w:type="dxa"/>
            <w:shd w:val="clear" w:color="auto" w:fill="auto"/>
          </w:tcPr>
          <w:p w14:paraId="68D56E99" w14:textId="77777777" w:rsidR="00132F98" w:rsidRDefault="00584E7E">
            <w:pPr>
              <w:jc w:val="center"/>
              <w:textAlignment w:val="baseline"/>
              <w:rPr>
                <w:sz w:val="18"/>
                <w:szCs w:val="18"/>
              </w:rPr>
            </w:pPr>
            <w:r>
              <w:rPr>
                <w:sz w:val="18"/>
                <w:szCs w:val="18"/>
              </w:rPr>
              <w:t xml:space="preserve">9 (19,6%) </w:t>
            </w:r>
          </w:p>
          <w:p w14:paraId="68D56E9A" w14:textId="77777777" w:rsidR="00132F98" w:rsidRDefault="00584E7E">
            <w:pPr>
              <w:jc w:val="center"/>
              <w:textAlignment w:val="baseline"/>
              <w:rPr>
                <w:sz w:val="18"/>
                <w:szCs w:val="18"/>
              </w:rPr>
            </w:pPr>
            <w:r>
              <w:rPr>
                <w:sz w:val="18"/>
                <w:szCs w:val="18"/>
              </w:rPr>
              <w:t xml:space="preserve">ES=15,4% </w:t>
            </w:r>
          </w:p>
          <w:p w14:paraId="68D56E9B" w14:textId="77777777" w:rsidR="00132F98" w:rsidRDefault="00584E7E">
            <w:pPr>
              <w:jc w:val="center"/>
              <w:rPr>
                <w:sz w:val="18"/>
                <w:szCs w:val="18"/>
              </w:rPr>
            </w:pPr>
            <w:r>
              <w:rPr>
                <w:sz w:val="18"/>
                <w:szCs w:val="18"/>
              </w:rPr>
              <w:t>RR: 4,70</w:t>
            </w:r>
          </w:p>
        </w:tc>
        <w:tc>
          <w:tcPr>
            <w:tcW w:w="1417" w:type="dxa"/>
          </w:tcPr>
          <w:p w14:paraId="68D56E9C" w14:textId="77777777" w:rsidR="00132F98" w:rsidRDefault="00584E7E">
            <w:pPr>
              <w:jc w:val="center"/>
              <w:textAlignment w:val="baseline"/>
              <w:rPr>
                <w:sz w:val="18"/>
                <w:szCs w:val="18"/>
              </w:rPr>
            </w:pPr>
            <w:r>
              <w:rPr>
                <w:sz w:val="18"/>
                <w:szCs w:val="18"/>
              </w:rPr>
              <w:t>23 (47,9%)</w:t>
            </w:r>
          </w:p>
          <w:p w14:paraId="68D56E9D" w14:textId="77777777" w:rsidR="00132F98" w:rsidRDefault="00584E7E">
            <w:pPr>
              <w:jc w:val="center"/>
              <w:textAlignment w:val="baseline"/>
              <w:rPr>
                <w:sz w:val="18"/>
                <w:szCs w:val="18"/>
              </w:rPr>
            </w:pPr>
            <w:r>
              <w:rPr>
                <w:sz w:val="18"/>
                <w:szCs w:val="18"/>
              </w:rPr>
              <w:t xml:space="preserve">ES=43,7% </w:t>
            </w:r>
          </w:p>
          <w:p w14:paraId="68D56E9E" w14:textId="77777777" w:rsidR="00132F98" w:rsidRDefault="00584E7E">
            <w:pPr>
              <w:jc w:val="center"/>
              <w:rPr>
                <w:sz w:val="18"/>
                <w:szCs w:val="18"/>
              </w:rPr>
            </w:pPr>
            <w:r>
              <w:rPr>
                <w:sz w:val="18"/>
                <w:szCs w:val="18"/>
              </w:rPr>
              <w:t>RR: 11,50</w:t>
            </w:r>
          </w:p>
        </w:tc>
      </w:tr>
      <w:tr w:rsidR="00132F98" w14:paraId="68D56EAD" w14:textId="77777777">
        <w:trPr>
          <w:trHeight w:val="737"/>
          <w:tblHeader/>
        </w:trPr>
        <w:tc>
          <w:tcPr>
            <w:tcW w:w="1398" w:type="dxa"/>
            <w:shd w:val="clear" w:color="auto" w:fill="auto"/>
          </w:tcPr>
          <w:p w14:paraId="68D56EA0" w14:textId="77777777" w:rsidR="00132F98" w:rsidRDefault="00132F98">
            <w:pPr>
              <w:rPr>
                <w:sz w:val="18"/>
                <w:szCs w:val="18"/>
              </w:rPr>
            </w:pPr>
          </w:p>
        </w:tc>
        <w:tc>
          <w:tcPr>
            <w:tcW w:w="1149" w:type="dxa"/>
            <w:shd w:val="clear" w:color="auto" w:fill="auto"/>
          </w:tcPr>
          <w:p w14:paraId="68D56EA1"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18"/>
                <w:szCs w:val="18"/>
              </w:rPr>
              <w:t xml:space="preserve">Liczba (%) pacjentów z ≥100% zmniejszeniem miesięcznej częstości napadów padaczkowych — zmiana </w:t>
            </w:r>
            <w:r>
              <w:rPr>
                <w:rFonts w:cs="Times New Roman"/>
                <w:sz w:val="18"/>
                <w:szCs w:val="18"/>
              </w:rPr>
              <w:t>względem wartości początkowej</w:t>
            </w:r>
          </w:p>
          <w:p w14:paraId="68D56EA2" w14:textId="77777777" w:rsidR="00132F98" w:rsidRDefault="00584E7E">
            <w:pPr>
              <w:pStyle w:val="paragraph"/>
              <w:spacing w:before="0" w:beforeAutospacing="0" w:after="0" w:afterAutospacing="0"/>
              <w:textAlignment w:val="baseline"/>
              <w:rPr>
                <w:rFonts w:cs="Times New Roman"/>
                <w:sz w:val="18"/>
                <w:szCs w:val="18"/>
              </w:rPr>
            </w:pPr>
            <w:r>
              <w:rPr>
                <w:sz w:val="18"/>
                <w:szCs w:val="18"/>
              </w:rPr>
              <w:t>Wielkość efektu</w:t>
            </w:r>
            <w:r>
              <w:rPr>
                <w:sz w:val="18"/>
                <w:szCs w:val="18"/>
                <w:vertAlign w:val="superscript"/>
              </w:rPr>
              <w:t>1</w:t>
            </w:r>
            <w:r>
              <w:rPr>
                <w:sz w:val="18"/>
                <w:szCs w:val="18"/>
              </w:rPr>
              <w:t> </w:t>
            </w:r>
          </w:p>
        </w:tc>
        <w:tc>
          <w:tcPr>
            <w:tcW w:w="992" w:type="dxa"/>
            <w:shd w:val="clear" w:color="auto" w:fill="auto"/>
          </w:tcPr>
          <w:p w14:paraId="68D56EA3" w14:textId="77777777" w:rsidR="00132F98" w:rsidRDefault="00584E7E">
            <w:pPr>
              <w:jc w:val="center"/>
              <w:rPr>
                <w:sz w:val="18"/>
                <w:szCs w:val="18"/>
              </w:rPr>
            </w:pPr>
            <w:r>
              <w:rPr>
                <w:sz w:val="18"/>
                <w:szCs w:val="18"/>
              </w:rPr>
              <w:t>0 (0%) </w:t>
            </w:r>
          </w:p>
        </w:tc>
        <w:tc>
          <w:tcPr>
            <w:tcW w:w="1276" w:type="dxa"/>
            <w:shd w:val="clear" w:color="auto" w:fill="auto"/>
          </w:tcPr>
          <w:p w14:paraId="68D56EA4" w14:textId="77777777" w:rsidR="00132F98" w:rsidRDefault="00584E7E">
            <w:pPr>
              <w:jc w:val="center"/>
              <w:textAlignment w:val="baseline"/>
              <w:rPr>
                <w:rFonts w:ascii="Segoe UI" w:hAnsi="Segoe UI" w:cs="Segoe UI"/>
                <w:sz w:val="18"/>
                <w:szCs w:val="18"/>
              </w:rPr>
            </w:pPr>
            <w:r>
              <w:rPr>
                <w:sz w:val="18"/>
                <w:szCs w:val="18"/>
              </w:rPr>
              <w:t>6 (15,4%) </w:t>
            </w:r>
          </w:p>
          <w:p w14:paraId="68D56EA5" w14:textId="77777777" w:rsidR="00132F98" w:rsidRDefault="00584E7E">
            <w:pPr>
              <w:keepNext/>
              <w:keepLines/>
              <w:jc w:val="center"/>
              <w:rPr>
                <w:sz w:val="18"/>
                <w:szCs w:val="18"/>
              </w:rPr>
            </w:pPr>
            <w:r>
              <w:rPr>
                <w:sz w:val="18"/>
                <w:szCs w:val="18"/>
              </w:rPr>
              <w:t>ES=15,4%</w:t>
            </w:r>
          </w:p>
          <w:p w14:paraId="68D56EA6" w14:textId="77777777" w:rsidR="00132F98" w:rsidRDefault="00132F98">
            <w:pPr>
              <w:pStyle w:val="paragraph"/>
              <w:spacing w:before="0" w:beforeAutospacing="0" w:after="0" w:afterAutospacing="0"/>
              <w:jc w:val="center"/>
              <w:textAlignment w:val="baseline"/>
              <w:rPr>
                <w:rFonts w:cs="Times New Roman"/>
                <w:sz w:val="18"/>
                <w:szCs w:val="18"/>
              </w:rPr>
            </w:pPr>
          </w:p>
        </w:tc>
        <w:tc>
          <w:tcPr>
            <w:tcW w:w="1276" w:type="dxa"/>
            <w:shd w:val="clear" w:color="auto" w:fill="auto"/>
          </w:tcPr>
          <w:p w14:paraId="68D56EA7" w14:textId="77777777" w:rsidR="00132F98" w:rsidRDefault="00584E7E">
            <w:pPr>
              <w:jc w:val="center"/>
              <w:textAlignment w:val="baseline"/>
              <w:rPr>
                <w:rFonts w:ascii="Segoe UI" w:hAnsi="Segoe UI" w:cs="Segoe UI"/>
                <w:sz w:val="18"/>
                <w:szCs w:val="18"/>
              </w:rPr>
            </w:pPr>
            <w:r>
              <w:rPr>
                <w:sz w:val="18"/>
                <w:szCs w:val="18"/>
              </w:rPr>
              <w:t>6 (15,0%) </w:t>
            </w:r>
          </w:p>
          <w:p w14:paraId="68D56EA8" w14:textId="77777777" w:rsidR="00132F98" w:rsidRDefault="00584E7E">
            <w:pPr>
              <w:keepNext/>
              <w:keepLines/>
              <w:jc w:val="center"/>
              <w:rPr>
                <w:sz w:val="18"/>
                <w:szCs w:val="18"/>
              </w:rPr>
            </w:pPr>
            <w:r>
              <w:rPr>
                <w:sz w:val="18"/>
                <w:szCs w:val="18"/>
              </w:rPr>
              <w:t>ES=15,0%</w:t>
            </w:r>
          </w:p>
          <w:p w14:paraId="68D56EA9" w14:textId="77777777" w:rsidR="00132F98" w:rsidRDefault="00132F98">
            <w:pPr>
              <w:pStyle w:val="paragraph"/>
              <w:spacing w:before="0" w:beforeAutospacing="0" w:after="0" w:afterAutospacing="0"/>
              <w:jc w:val="center"/>
              <w:textAlignment w:val="baseline"/>
              <w:rPr>
                <w:rFonts w:cs="Times New Roman"/>
                <w:sz w:val="18"/>
                <w:szCs w:val="18"/>
              </w:rPr>
            </w:pPr>
          </w:p>
        </w:tc>
        <w:tc>
          <w:tcPr>
            <w:tcW w:w="850" w:type="dxa"/>
            <w:shd w:val="clear" w:color="auto" w:fill="auto"/>
          </w:tcPr>
          <w:p w14:paraId="68D56EAA" w14:textId="77777777" w:rsidR="00132F98" w:rsidRDefault="00584E7E">
            <w:pPr>
              <w:jc w:val="center"/>
              <w:rPr>
                <w:sz w:val="18"/>
                <w:szCs w:val="18"/>
              </w:rPr>
            </w:pPr>
            <w:r>
              <w:rPr>
                <w:sz w:val="18"/>
                <w:szCs w:val="18"/>
              </w:rPr>
              <w:t>0 (0%)</w:t>
            </w:r>
          </w:p>
        </w:tc>
        <w:tc>
          <w:tcPr>
            <w:tcW w:w="1276" w:type="dxa"/>
            <w:shd w:val="clear" w:color="auto" w:fill="auto"/>
          </w:tcPr>
          <w:p w14:paraId="68D56EAB" w14:textId="77777777" w:rsidR="00132F98" w:rsidRDefault="00584E7E">
            <w:pPr>
              <w:pStyle w:val="paragraph"/>
              <w:spacing w:before="0" w:beforeAutospacing="0" w:after="0" w:afterAutospacing="0"/>
              <w:jc w:val="center"/>
              <w:textAlignment w:val="baseline"/>
              <w:rPr>
                <w:rFonts w:cs="Times New Roman"/>
                <w:sz w:val="18"/>
                <w:szCs w:val="18"/>
              </w:rPr>
            </w:pPr>
            <w:r>
              <w:rPr>
                <w:sz w:val="18"/>
                <w:szCs w:val="18"/>
              </w:rPr>
              <w:t>1 (2,2%)</w:t>
            </w:r>
            <w:r>
              <w:rPr>
                <w:sz w:val="18"/>
                <w:szCs w:val="18"/>
              </w:rPr>
              <w:br/>
            </w:r>
          </w:p>
        </w:tc>
        <w:tc>
          <w:tcPr>
            <w:tcW w:w="1417" w:type="dxa"/>
          </w:tcPr>
          <w:p w14:paraId="68D56EAC" w14:textId="77777777" w:rsidR="00132F98" w:rsidRDefault="00584E7E">
            <w:pPr>
              <w:jc w:val="center"/>
              <w:rPr>
                <w:sz w:val="18"/>
                <w:szCs w:val="18"/>
              </w:rPr>
            </w:pPr>
            <w:r>
              <w:rPr>
                <w:sz w:val="18"/>
                <w:szCs w:val="18"/>
              </w:rPr>
              <w:t>10 (20,8%)</w:t>
            </w:r>
            <w:r>
              <w:rPr>
                <w:sz w:val="18"/>
                <w:szCs w:val="18"/>
              </w:rPr>
              <w:br/>
            </w:r>
          </w:p>
        </w:tc>
      </w:tr>
      <w:tr w:rsidR="00132F98" w14:paraId="68D56EBC" w14:textId="77777777">
        <w:trPr>
          <w:trHeight w:val="737"/>
        </w:trPr>
        <w:tc>
          <w:tcPr>
            <w:tcW w:w="2547" w:type="dxa"/>
            <w:gridSpan w:val="2"/>
            <w:tcBorders>
              <w:bottom w:val="single" w:sz="4" w:space="0" w:color="auto"/>
            </w:tcBorders>
            <w:shd w:val="clear" w:color="auto" w:fill="auto"/>
          </w:tcPr>
          <w:p w14:paraId="68D56EAE" w14:textId="77777777" w:rsidR="00132F98" w:rsidRDefault="00584E7E">
            <w:pPr>
              <w:rPr>
                <w:b/>
                <w:sz w:val="18"/>
                <w:szCs w:val="18"/>
              </w:rPr>
            </w:pPr>
            <w:r>
              <w:rPr>
                <w:b/>
                <w:sz w:val="18"/>
                <w:szCs w:val="18"/>
              </w:rPr>
              <w:t>Najdłuższy okres bez napadów (mediana)</w:t>
            </w:r>
          </w:p>
          <w:p w14:paraId="68D56EAF" w14:textId="77777777" w:rsidR="00132F98" w:rsidRDefault="00132F98">
            <w:pPr>
              <w:rPr>
                <w:b/>
                <w:sz w:val="18"/>
                <w:szCs w:val="18"/>
              </w:rPr>
            </w:pPr>
          </w:p>
          <w:p w14:paraId="68D56EB0" w14:textId="77777777" w:rsidR="00132F98" w:rsidRDefault="00584E7E">
            <w:pPr>
              <w:rPr>
                <w:b/>
                <w:sz w:val="18"/>
                <w:szCs w:val="18"/>
              </w:rPr>
            </w:pPr>
            <w:r>
              <w:rPr>
                <w:b/>
                <w:sz w:val="18"/>
                <w:szCs w:val="18"/>
              </w:rPr>
              <w:t>Okres dobierania dawki oraz leczenia podtrzymującego</w:t>
            </w:r>
          </w:p>
        </w:tc>
        <w:tc>
          <w:tcPr>
            <w:tcW w:w="992" w:type="dxa"/>
            <w:tcBorders>
              <w:bottom w:val="single" w:sz="4" w:space="0" w:color="auto"/>
            </w:tcBorders>
            <w:shd w:val="clear" w:color="auto" w:fill="auto"/>
          </w:tcPr>
          <w:p w14:paraId="68D56EB1" w14:textId="77777777" w:rsidR="00132F98" w:rsidRDefault="00584E7E">
            <w:pPr>
              <w:keepNext/>
              <w:keepLines/>
              <w:jc w:val="center"/>
              <w:rPr>
                <w:sz w:val="18"/>
                <w:szCs w:val="18"/>
              </w:rPr>
            </w:pPr>
            <w:r>
              <w:rPr>
                <w:sz w:val="18"/>
                <w:szCs w:val="18"/>
              </w:rPr>
              <w:t>9,5 dnia</w:t>
            </w:r>
          </w:p>
        </w:tc>
        <w:tc>
          <w:tcPr>
            <w:tcW w:w="1276" w:type="dxa"/>
            <w:tcBorders>
              <w:bottom w:val="single" w:sz="4" w:space="0" w:color="auto"/>
            </w:tcBorders>
            <w:shd w:val="clear" w:color="auto" w:fill="auto"/>
          </w:tcPr>
          <w:p w14:paraId="68D56EB2" w14:textId="77777777" w:rsidR="00132F98" w:rsidRDefault="00584E7E">
            <w:pPr>
              <w:keepNext/>
              <w:keepLines/>
              <w:jc w:val="center"/>
              <w:rPr>
                <w:sz w:val="18"/>
                <w:szCs w:val="18"/>
              </w:rPr>
            </w:pPr>
            <w:r>
              <w:rPr>
                <w:sz w:val="18"/>
                <w:szCs w:val="18"/>
              </w:rPr>
              <w:t>15,0 dni</w:t>
            </w:r>
          </w:p>
          <w:p w14:paraId="68D56EB3" w14:textId="77777777" w:rsidR="00132F98" w:rsidRDefault="00584E7E">
            <w:pPr>
              <w:keepNext/>
              <w:keepLines/>
              <w:jc w:val="center"/>
              <w:rPr>
                <w:sz w:val="18"/>
                <w:szCs w:val="18"/>
              </w:rPr>
            </w:pPr>
            <w:r>
              <w:rPr>
                <w:sz w:val="18"/>
                <w:szCs w:val="18"/>
              </w:rPr>
              <w:t>p=0,035</w:t>
            </w:r>
          </w:p>
        </w:tc>
        <w:tc>
          <w:tcPr>
            <w:tcW w:w="1276" w:type="dxa"/>
            <w:tcBorders>
              <w:bottom w:val="single" w:sz="4" w:space="0" w:color="auto"/>
            </w:tcBorders>
            <w:shd w:val="clear" w:color="auto" w:fill="auto"/>
          </w:tcPr>
          <w:p w14:paraId="68D56EB4" w14:textId="77777777" w:rsidR="00132F98" w:rsidRDefault="00584E7E">
            <w:pPr>
              <w:keepNext/>
              <w:keepLines/>
              <w:jc w:val="center"/>
              <w:rPr>
                <w:sz w:val="18"/>
                <w:szCs w:val="18"/>
              </w:rPr>
            </w:pPr>
            <w:r>
              <w:rPr>
                <w:sz w:val="18"/>
                <w:szCs w:val="18"/>
              </w:rPr>
              <w:t xml:space="preserve">25,0 </w:t>
            </w:r>
            <w:r>
              <w:rPr>
                <w:sz w:val="18"/>
                <w:szCs w:val="18"/>
              </w:rPr>
              <w:t>dni</w:t>
            </w:r>
          </w:p>
          <w:p w14:paraId="68D56EB5" w14:textId="77777777" w:rsidR="00132F98" w:rsidRDefault="00584E7E">
            <w:pPr>
              <w:keepNext/>
              <w:keepLines/>
              <w:jc w:val="center"/>
              <w:rPr>
                <w:sz w:val="18"/>
                <w:szCs w:val="18"/>
              </w:rPr>
            </w:pPr>
            <w:r>
              <w:rPr>
                <w:sz w:val="18"/>
                <w:szCs w:val="18"/>
              </w:rPr>
              <w:t>p&lt;0,001</w:t>
            </w:r>
          </w:p>
        </w:tc>
        <w:tc>
          <w:tcPr>
            <w:tcW w:w="850" w:type="dxa"/>
            <w:tcBorders>
              <w:bottom w:val="single" w:sz="4" w:space="0" w:color="auto"/>
            </w:tcBorders>
            <w:shd w:val="clear" w:color="auto" w:fill="auto"/>
          </w:tcPr>
          <w:p w14:paraId="68D56EB6" w14:textId="77777777" w:rsidR="00132F98" w:rsidRDefault="00584E7E">
            <w:pPr>
              <w:keepNext/>
              <w:keepLines/>
              <w:jc w:val="center"/>
              <w:rPr>
                <w:sz w:val="18"/>
                <w:szCs w:val="18"/>
              </w:rPr>
            </w:pPr>
            <w:r>
              <w:rPr>
                <w:sz w:val="18"/>
                <w:szCs w:val="18"/>
              </w:rPr>
              <w:t>10,0 dni</w:t>
            </w:r>
          </w:p>
        </w:tc>
        <w:tc>
          <w:tcPr>
            <w:tcW w:w="1276" w:type="dxa"/>
            <w:tcBorders>
              <w:bottom w:val="single" w:sz="4" w:space="0" w:color="auto"/>
            </w:tcBorders>
            <w:shd w:val="clear" w:color="auto" w:fill="auto"/>
          </w:tcPr>
          <w:p w14:paraId="68D56EB7" w14:textId="77777777" w:rsidR="00132F98" w:rsidRDefault="00584E7E">
            <w:pPr>
              <w:keepNext/>
              <w:keepLines/>
              <w:jc w:val="center"/>
              <w:rPr>
                <w:sz w:val="18"/>
                <w:szCs w:val="18"/>
              </w:rPr>
            </w:pPr>
            <w:r>
              <w:rPr>
                <w:sz w:val="18"/>
                <w:szCs w:val="18"/>
              </w:rPr>
              <w:t>18,5 dnia</w:t>
            </w:r>
          </w:p>
          <w:p w14:paraId="68D56EB8" w14:textId="77777777" w:rsidR="00132F98" w:rsidRDefault="00584E7E">
            <w:pPr>
              <w:keepNext/>
              <w:keepLines/>
              <w:jc w:val="center"/>
              <w:rPr>
                <w:sz w:val="18"/>
                <w:szCs w:val="18"/>
              </w:rPr>
            </w:pPr>
            <w:r>
              <w:rPr>
                <w:sz w:val="18"/>
                <w:szCs w:val="18"/>
              </w:rPr>
              <w:t>p=0,0002</w:t>
            </w:r>
          </w:p>
        </w:tc>
        <w:tc>
          <w:tcPr>
            <w:tcW w:w="1417" w:type="dxa"/>
            <w:tcBorders>
              <w:bottom w:val="single" w:sz="4" w:space="0" w:color="auto"/>
            </w:tcBorders>
          </w:tcPr>
          <w:p w14:paraId="68D56EB9" w14:textId="77777777" w:rsidR="00132F98" w:rsidRDefault="00584E7E">
            <w:pPr>
              <w:keepNext/>
              <w:keepLines/>
              <w:jc w:val="center"/>
              <w:rPr>
                <w:sz w:val="18"/>
                <w:szCs w:val="18"/>
              </w:rPr>
            </w:pPr>
            <w:r>
              <w:rPr>
                <w:sz w:val="18"/>
                <w:szCs w:val="18"/>
              </w:rPr>
              <w:t>30 dni</w:t>
            </w:r>
          </w:p>
          <w:p w14:paraId="68D56EBA" w14:textId="77777777" w:rsidR="00132F98" w:rsidRDefault="00584E7E">
            <w:pPr>
              <w:keepNext/>
              <w:keepLines/>
              <w:jc w:val="center"/>
              <w:rPr>
                <w:sz w:val="18"/>
                <w:szCs w:val="18"/>
              </w:rPr>
            </w:pPr>
            <w:r>
              <w:rPr>
                <w:sz w:val="18"/>
                <w:szCs w:val="18"/>
              </w:rPr>
              <w:t>p&lt;0,0001</w:t>
            </w:r>
          </w:p>
          <w:p w14:paraId="68D56EBB" w14:textId="77777777" w:rsidR="00132F98" w:rsidRDefault="00132F98">
            <w:pPr>
              <w:keepNext/>
              <w:keepLines/>
              <w:jc w:val="center"/>
              <w:rPr>
                <w:sz w:val="18"/>
                <w:szCs w:val="18"/>
              </w:rPr>
            </w:pPr>
          </w:p>
        </w:tc>
      </w:tr>
    </w:tbl>
    <w:bookmarkEnd w:id="5"/>
    <w:p w14:paraId="68D56EBD" w14:textId="77777777" w:rsidR="00132F98" w:rsidRDefault="00584E7E">
      <w:pPr>
        <w:autoSpaceDE w:val="0"/>
        <w:autoSpaceDN w:val="0"/>
        <w:adjustRightInd w:val="0"/>
        <w:rPr>
          <w:sz w:val="18"/>
          <w:szCs w:val="18"/>
        </w:rPr>
      </w:pPr>
      <w:r>
        <w:rPr>
          <w:sz w:val="18"/>
          <w:szCs w:val="18"/>
        </w:rPr>
        <w:t xml:space="preserve">*Wielkość efektu (ES) (różnica ryzyka) </w:t>
      </w:r>
      <w:r>
        <w:rPr>
          <w:sz w:val="18"/>
          <w:szCs w:val="18"/>
          <w:shd w:val="clear" w:color="auto" w:fill="FFFFFF"/>
        </w:rPr>
        <w:t>wyliczono jako odsetek między grupą leczenia aktywnego a placebo</w:t>
      </w:r>
      <w:r>
        <w:rPr>
          <w:sz w:val="18"/>
          <w:szCs w:val="18"/>
        </w:rPr>
        <w:t>, RR: ryzyko względne</w:t>
      </w:r>
    </w:p>
    <w:p w14:paraId="68D56EBE" w14:textId="77777777" w:rsidR="00132F98" w:rsidRDefault="00132F98">
      <w:pPr>
        <w:autoSpaceDE w:val="0"/>
        <w:autoSpaceDN w:val="0"/>
        <w:adjustRightInd w:val="0"/>
      </w:pPr>
    </w:p>
    <w:p w14:paraId="68D56EBF" w14:textId="77777777" w:rsidR="00132F98" w:rsidRDefault="00584E7E">
      <w:pPr>
        <w:autoSpaceDE w:val="0"/>
        <w:autoSpaceDN w:val="0"/>
        <w:adjustRightInd w:val="0"/>
      </w:pPr>
      <w:r>
        <w:t xml:space="preserve">Badanie 2 (wcześniejsze oznaczenie 1504; N=87) było </w:t>
      </w:r>
      <w:r>
        <w:t>2-grupowym, wieloośrodkowym, randomizowanym badaniem prowadzonym metodą podwójnie ślepej próby w grupach równoległych, z grupą kontrolną otrzymującą placebo, obejmującym 6-tygodniowy okres początkowy, po którym następował 3-tygodniowy okres zwiększania daw</w:t>
      </w:r>
      <w:r>
        <w:t>ki oraz 12-tygodniowy okres leczenia podtrzymującego, co daje łącznie 15-tygodniowy okres leczenia. Kwalifikujący się pacjenci byli randomizowani w stosunku 1:1 do otrzymywania fenfluraminy w dawce 0,4 mg/kg mc. na dobę (maksymalnie 17 mg na dobę) albo pla</w:t>
      </w:r>
      <w:r>
        <w:t>cebo w dodatku do stałego, zgodnego ze standardem postępowania schematu leczenia styrypentolem (oraz klobazamem i (lub) walproinianem), a także ewentualnie dodatkowo innymi lekami przeciwpadaczkowymi. Średnia (odchylenie standardowe) wieku pacjentów włączo</w:t>
      </w:r>
      <w:r>
        <w:t>nych do badania 2 wynosiła 9,1 (4,80) roku, zakres wynosił 2–19 lat. Większość pacjentów miała ≥6 lat (72,4%), a mniejszość stanowili pacjenci w wieku &lt;6 lat (27,6%), płci męskiej (57,5%), rasy białej (59,8%), jeśli podano. U wszystkich włączonych pacjentó</w:t>
      </w:r>
      <w:r>
        <w:t>w choroba nie była właściwie kontrolowana pomimo przyjmowania co najmniej jednego leku przeciwpadaczkowego, w tym styrypentolu, z zastosowaniem lub bez zastosowania stymulacji nerwu błędnego i (lub) diety ketogenicznej. Mediana początkowej częstości napadó</w:t>
      </w:r>
      <w:r>
        <w:t>w drgawkowych w okresie 28 dni wynosiła 10,7 oraz 14,3 odpowiednio w grupie placebo i grupie fenfluraminy w dawce 0,4 mg/kg mc. na dobę.</w:t>
      </w:r>
    </w:p>
    <w:p w14:paraId="68D56EC0" w14:textId="77777777" w:rsidR="00132F98" w:rsidRDefault="00132F98">
      <w:pPr>
        <w:autoSpaceDE w:val="0"/>
        <w:autoSpaceDN w:val="0"/>
        <w:adjustRightInd w:val="0"/>
        <w:rPr>
          <w:rFonts w:eastAsia="SimSun"/>
        </w:rPr>
      </w:pPr>
    </w:p>
    <w:p w14:paraId="68D56EC1" w14:textId="77777777" w:rsidR="00132F98" w:rsidRDefault="00584E7E">
      <w:pPr>
        <w:keepNext/>
        <w:keepLines/>
        <w:rPr>
          <w:iCs/>
          <w:noProof/>
          <w:szCs w:val="22"/>
        </w:rPr>
      </w:pPr>
      <w:r>
        <w:rPr>
          <w:b/>
          <w:szCs w:val="22"/>
        </w:rPr>
        <w:lastRenderedPageBreak/>
        <w:t xml:space="preserve">Tabela 6. Zespół Dravet: Badanie 2 (wcześniejsze oznaczenie ZX008-1504): wyniki dotyczące </w:t>
      </w:r>
      <w:r>
        <w:rPr>
          <w:b/>
          <w:szCs w:val="22"/>
        </w:rPr>
        <w:t>pierwszorzędowego punktu końcowego i wybranych drugorzędowych punktów końcowych w ocenie skuteczności</w:t>
      </w:r>
    </w:p>
    <w:p w14:paraId="68D56EC2" w14:textId="77777777" w:rsidR="00132F98" w:rsidRDefault="00132F98">
      <w:pPr>
        <w:keepNext/>
        <w:keepLines/>
        <w:autoSpaceDE w:val="0"/>
        <w:autoSpaceDN w:val="0"/>
        <w:adjustRightInd w:val="0"/>
        <w:rPr>
          <w:rFonts w:eastAsia="SimSu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2409"/>
        <w:gridCol w:w="2835"/>
      </w:tblGrid>
      <w:tr w:rsidR="00132F98" w14:paraId="68D56EC6" w14:textId="77777777">
        <w:trPr>
          <w:tblHeader/>
        </w:trPr>
        <w:tc>
          <w:tcPr>
            <w:tcW w:w="2547" w:type="dxa"/>
            <w:shd w:val="clear" w:color="auto" w:fill="auto"/>
          </w:tcPr>
          <w:p w14:paraId="68D56EC3" w14:textId="77777777" w:rsidR="00132F98" w:rsidRDefault="00132F98">
            <w:pPr>
              <w:keepNext/>
              <w:keepLines/>
              <w:rPr>
                <w:sz w:val="20"/>
              </w:rPr>
            </w:pPr>
            <w:bookmarkStart w:id="6" w:name="_Hlk129270299"/>
          </w:p>
        </w:tc>
        <w:tc>
          <w:tcPr>
            <w:tcW w:w="2410" w:type="dxa"/>
            <w:shd w:val="clear" w:color="auto" w:fill="auto"/>
          </w:tcPr>
          <w:p w14:paraId="68D56EC4" w14:textId="77777777" w:rsidR="00132F98" w:rsidRDefault="00132F98">
            <w:pPr>
              <w:keepNext/>
              <w:keepLines/>
              <w:rPr>
                <w:sz w:val="20"/>
              </w:rPr>
            </w:pPr>
          </w:p>
        </w:tc>
        <w:tc>
          <w:tcPr>
            <w:tcW w:w="5244" w:type="dxa"/>
            <w:gridSpan w:val="2"/>
            <w:shd w:val="clear" w:color="auto" w:fill="auto"/>
          </w:tcPr>
          <w:p w14:paraId="68D56EC5" w14:textId="77777777" w:rsidR="00132F98" w:rsidRDefault="00584E7E">
            <w:pPr>
              <w:keepNext/>
              <w:keepLines/>
              <w:jc w:val="center"/>
              <w:rPr>
                <w:b/>
                <w:bCs/>
                <w:sz w:val="20"/>
              </w:rPr>
            </w:pPr>
            <w:r>
              <w:rPr>
                <w:b/>
                <w:bCs/>
                <w:sz w:val="20"/>
              </w:rPr>
              <w:t>Badanie 2</w:t>
            </w:r>
          </w:p>
        </w:tc>
      </w:tr>
      <w:tr w:rsidR="00132F98" w14:paraId="68D56ECB" w14:textId="77777777">
        <w:trPr>
          <w:tblHeader/>
        </w:trPr>
        <w:tc>
          <w:tcPr>
            <w:tcW w:w="2547" w:type="dxa"/>
            <w:shd w:val="clear" w:color="auto" w:fill="auto"/>
          </w:tcPr>
          <w:p w14:paraId="68D56EC7" w14:textId="77777777" w:rsidR="00132F98" w:rsidRDefault="00132F98">
            <w:pPr>
              <w:keepNext/>
              <w:keepLines/>
              <w:rPr>
                <w:sz w:val="20"/>
              </w:rPr>
            </w:pPr>
          </w:p>
        </w:tc>
        <w:tc>
          <w:tcPr>
            <w:tcW w:w="2410" w:type="dxa"/>
            <w:shd w:val="clear" w:color="auto" w:fill="auto"/>
          </w:tcPr>
          <w:p w14:paraId="68D56EC8" w14:textId="77777777" w:rsidR="00132F98" w:rsidRDefault="00132F98">
            <w:pPr>
              <w:keepNext/>
              <w:keepLines/>
              <w:rPr>
                <w:sz w:val="20"/>
              </w:rPr>
            </w:pPr>
          </w:p>
        </w:tc>
        <w:tc>
          <w:tcPr>
            <w:tcW w:w="2409" w:type="dxa"/>
            <w:shd w:val="clear" w:color="auto" w:fill="auto"/>
          </w:tcPr>
          <w:p w14:paraId="68D56EC9" w14:textId="77777777" w:rsidR="00132F98" w:rsidRDefault="00584E7E">
            <w:pPr>
              <w:keepNext/>
              <w:keepLines/>
              <w:jc w:val="center"/>
              <w:rPr>
                <w:b/>
                <w:bCs/>
                <w:sz w:val="20"/>
              </w:rPr>
            </w:pPr>
            <w:r>
              <w:rPr>
                <w:b/>
                <w:bCs/>
                <w:sz w:val="20"/>
              </w:rPr>
              <w:t>Placebo + styrypentol</w:t>
            </w:r>
          </w:p>
        </w:tc>
        <w:tc>
          <w:tcPr>
            <w:tcW w:w="2835" w:type="dxa"/>
            <w:shd w:val="clear" w:color="auto" w:fill="auto"/>
          </w:tcPr>
          <w:p w14:paraId="68D56ECA" w14:textId="77777777" w:rsidR="00132F98" w:rsidRDefault="00584E7E">
            <w:pPr>
              <w:keepNext/>
              <w:keepLines/>
              <w:jc w:val="center"/>
              <w:rPr>
                <w:b/>
                <w:bCs/>
                <w:sz w:val="20"/>
              </w:rPr>
            </w:pPr>
            <w:r>
              <w:rPr>
                <w:b/>
                <w:bCs/>
                <w:sz w:val="20"/>
              </w:rPr>
              <w:t>Fenfluramina 0,4 mg/kg mc. na dobę + styrypentol</w:t>
            </w:r>
          </w:p>
        </w:tc>
      </w:tr>
      <w:tr w:rsidR="00132F98" w14:paraId="68D56ED8" w14:textId="77777777">
        <w:tc>
          <w:tcPr>
            <w:tcW w:w="2547" w:type="dxa"/>
            <w:vMerge w:val="restart"/>
            <w:shd w:val="clear" w:color="auto" w:fill="auto"/>
            <w:hideMark/>
          </w:tcPr>
          <w:p w14:paraId="68D56ECC" w14:textId="77777777" w:rsidR="00132F98" w:rsidRDefault="00584E7E">
            <w:pPr>
              <w:keepNext/>
              <w:keepLines/>
              <w:rPr>
                <w:b/>
                <w:bCs/>
                <w:sz w:val="20"/>
              </w:rPr>
            </w:pPr>
            <w:r>
              <w:rPr>
                <w:b/>
                <w:bCs/>
                <w:sz w:val="20"/>
              </w:rPr>
              <w:t>Częstość napadów padaczkowych</w:t>
            </w:r>
          </w:p>
          <w:p w14:paraId="68D56ECD" w14:textId="77777777" w:rsidR="00132F98" w:rsidRDefault="00132F98">
            <w:pPr>
              <w:keepNext/>
              <w:keepLines/>
              <w:rPr>
                <w:b/>
                <w:bCs/>
                <w:sz w:val="20"/>
              </w:rPr>
            </w:pPr>
          </w:p>
          <w:p w14:paraId="68D56ECE" w14:textId="77777777" w:rsidR="00132F98" w:rsidRDefault="00584E7E">
            <w:pPr>
              <w:keepNext/>
              <w:keepLines/>
              <w:rPr>
                <w:b/>
                <w:bCs/>
                <w:sz w:val="20"/>
              </w:rPr>
            </w:pPr>
            <w:r>
              <w:rPr>
                <w:b/>
                <w:bCs/>
                <w:sz w:val="20"/>
              </w:rPr>
              <w:t xml:space="preserve">Okres leczenia </w:t>
            </w:r>
            <w:r>
              <w:rPr>
                <w:b/>
                <w:bCs/>
                <w:sz w:val="20"/>
              </w:rPr>
              <w:t>podtrzymującego</w:t>
            </w:r>
          </w:p>
        </w:tc>
        <w:tc>
          <w:tcPr>
            <w:tcW w:w="2410" w:type="dxa"/>
            <w:shd w:val="clear" w:color="auto" w:fill="auto"/>
            <w:hideMark/>
          </w:tcPr>
          <w:p w14:paraId="68D56ECF" w14:textId="77777777" w:rsidR="00132F98" w:rsidRDefault="00584E7E">
            <w:pPr>
              <w:keepNext/>
              <w:keepLines/>
              <w:rPr>
                <w:sz w:val="20"/>
              </w:rPr>
            </w:pPr>
            <w:r>
              <w:rPr>
                <w:sz w:val="20"/>
              </w:rPr>
              <w:t>N w punkcie początkowym</w:t>
            </w:r>
          </w:p>
          <w:p w14:paraId="68D56ED0" w14:textId="77777777" w:rsidR="00132F98" w:rsidRDefault="00584E7E">
            <w:pPr>
              <w:keepNext/>
              <w:keepLines/>
              <w:rPr>
                <w:sz w:val="20"/>
              </w:rPr>
            </w:pPr>
            <w:r>
              <w:rPr>
                <w:sz w:val="20"/>
              </w:rPr>
              <w:t>Mediana</w:t>
            </w:r>
          </w:p>
          <w:p w14:paraId="68D56ED1" w14:textId="77777777" w:rsidR="00132F98" w:rsidRDefault="00584E7E">
            <w:pPr>
              <w:keepNext/>
              <w:keepLines/>
              <w:rPr>
                <w:sz w:val="20"/>
              </w:rPr>
            </w:pPr>
            <w:r>
              <w:rPr>
                <w:sz w:val="20"/>
              </w:rPr>
              <w:t>(wartość minimalna, wartość maksymalna)</w:t>
            </w:r>
          </w:p>
        </w:tc>
        <w:tc>
          <w:tcPr>
            <w:tcW w:w="2409" w:type="dxa"/>
            <w:shd w:val="clear" w:color="auto" w:fill="auto"/>
            <w:hideMark/>
          </w:tcPr>
          <w:p w14:paraId="68D56ED2" w14:textId="77777777" w:rsidR="00132F98" w:rsidRDefault="00584E7E">
            <w:pPr>
              <w:keepNext/>
              <w:keepLines/>
              <w:jc w:val="center"/>
              <w:rPr>
                <w:sz w:val="20"/>
              </w:rPr>
            </w:pPr>
            <w:r>
              <w:rPr>
                <w:sz w:val="20"/>
              </w:rPr>
              <w:t>44</w:t>
            </w:r>
          </w:p>
          <w:p w14:paraId="68D56ED3" w14:textId="77777777" w:rsidR="00132F98" w:rsidRDefault="00584E7E">
            <w:pPr>
              <w:keepNext/>
              <w:keepLines/>
              <w:jc w:val="center"/>
              <w:rPr>
                <w:sz w:val="20"/>
              </w:rPr>
            </w:pPr>
            <w:r>
              <w:rPr>
                <w:sz w:val="20"/>
              </w:rPr>
              <w:t>10,7</w:t>
            </w:r>
          </w:p>
          <w:p w14:paraId="68D56ED4" w14:textId="77777777" w:rsidR="00132F98" w:rsidRDefault="00584E7E">
            <w:pPr>
              <w:keepNext/>
              <w:keepLines/>
              <w:jc w:val="center"/>
              <w:rPr>
                <w:sz w:val="20"/>
              </w:rPr>
            </w:pPr>
            <w:r>
              <w:rPr>
                <w:sz w:val="20"/>
              </w:rPr>
              <w:t>(2,7; 162,7)</w:t>
            </w:r>
          </w:p>
        </w:tc>
        <w:tc>
          <w:tcPr>
            <w:tcW w:w="2835" w:type="dxa"/>
            <w:shd w:val="clear" w:color="auto" w:fill="auto"/>
            <w:hideMark/>
          </w:tcPr>
          <w:p w14:paraId="68D56ED5" w14:textId="77777777" w:rsidR="00132F98" w:rsidRDefault="00584E7E">
            <w:pPr>
              <w:keepNext/>
              <w:keepLines/>
              <w:jc w:val="center"/>
              <w:rPr>
                <w:sz w:val="20"/>
              </w:rPr>
            </w:pPr>
            <w:r>
              <w:rPr>
                <w:sz w:val="20"/>
              </w:rPr>
              <w:t>43</w:t>
            </w:r>
          </w:p>
          <w:p w14:paraId="68D56ED6" w14:textId="77777777" w:rsidR="00132F98" w:rsidRDefault="00584E7E">
            <w:pPr>
              <w:keepNext/>
              <w:keepLines/>
              <w:jc w:val="center"/>
              <w:rPr>
                <w:sz w:val="20"/>
              </w:rPr>
            </w:pPr>
            <w:r>
              <w:rPr>
                <w:sz w:val="20"/>
              </w:rPr>
              <w:t>14,3</w:t>
            </w:r>
          </w:p>
          <w:p w14:paraId="68D56ED7" w14:textId="77777777" w:rsidR="00132F98" w:rsidRDefault="00584E7E">
            <w:pPr>
              <w:keepNext/>
              <w:keepLines/>
              <w:jc w:val="center"/>
              <w:rPr>
                <w:sz w:val="20"/>
              </w:rPr>
            </w:pPr>
            <w:r>
              <w:rPr>
                <w:sz w:val="20"/>
              </w:rPr>
              <w:t>(2,7; 213,3)</w:t>
            </w:r>
          </w:p>
        </w:tc>
      </w:tr>
      <w:tr w:rsidR="00132F98" w14:paraId="68D56EE3" w14:textId="77777777">
        <w:tc>
          <w:tcPr>
            <w:tcW w:w="2547" w:type="dxa"/>
            <w:vMerge/>
            <w:vAlign w:val="center"/>
            <w:hideMark/>
          </w:tcPr>
          <w:p w14:paraId="68D56ED9" w14:textId="77777777" w:rsidR="00132F98" w:rsidRDefault="00132F98">
            <w:pPr>
              <w:keepNext/>
              <w:keepLines/>
              <w:rPr>
                <w:b/>
                <w:bCs/>
                <w:sz w:val="20"/>
              </w:rPr>
            </w:pPr>
          </w:p>
        </w:tc>
        <w:tc>
          <w:tcPr>
            <w:tcW w:w="2410" w:type="dxa"/>
            <w:shd w:val="clear" w:color="auto" w:fill="auto"/>
            <w:hideMark/>
          </w:tcPr>
          <w:p w14:paraId="68D56EDA" w14:textId="77777777" w:rsidR="00132F98" w:rsidRDefault="00584E7E">
            <w:pPr>
              <w:keepNext/>
              <w:keepLines/>
              <w:rPr>
                <w:sz w:val="20"/>
              </w:rPr>
            </w:pPr>
            <w:r>
              <w:rPr>
                <w:sz w:val="20"/>
              </w:rPr>
              <w:t>N na zakończenie okresu leczenia podtrzymującego</w:t>
            </w:r>
          </w:p>
          <w:p w14:paraId="68D56EDB" w14:textId="77777777" w:rsidR="00132F98" w:rsidRDefault="00584E7E">
            <w:pPr>
              <w:keepNext/>
              <w:keepLines/>
              <w:rPr>
                <w:sz w:val="20"/>
              </w:rPr>
            </w:pPr>
            <w:r>
              <w:rPr>
                <w:sz w:val="20"/>
              </w:rPr>
              <w:t>Mediana</w:t>
            </w:r>
          </w:p>
          <w:p w14:paraId="68D56EDC" w14:textId="77777777" w:rsidR="00132F98" w:rsidRDefault="00584E7E">
            <w:pPr>
              <w:keepNext/>
              <w:keepLines/>
              <w:rPr>
                <w:sz w:val="20"/>
              </w:rPr>
            </w:pPr>
            <w:r>
              <w:rPr>
                <w:sz w:val="20"/>
              </w:rPr>
              <w:t>(wartość minimalna, wartość maksymalna)</w:t>
            </w:r>
          </w:p>
        </w:tc>
        <w:tc>
          <w:tcPr>
            <w:tcW w:w="2409" w:type="dxa"/>
            <w:shd w:val="clear" w:color="auto" w:fill="auto"/>
            <w:hideMark/>
          </w:tcPr>
          <w:p w14:paraId="68D56EDD" w14:textId="77777777" w:rsidR="00132F98" w:rsidRDefault="00584E7E">
            <w:pPr>
              <w:keepNext/>
              <w:keepLines/>
              <w:jc w:val="center"/>
              <w:rPr>
                <w:sz w:val="20"/>
              </w:rPr>
            </w:pPr>
            <w:r>
              <w:rPr>
                <w:sz w:val="20"/>
              </w:rPr>
              <w:t>44</w:t>
            </w:r>
          </w:p>
          <w:p w14:paraId="68D56EDE" w14:textId="77777777" w:rsidR="00132F98" w:rsidRDefault="00584E7E">
            <w:pPr>
              <w:keepNext/>
              <w:keepLines/>
              <w:jc w:val="center"/>
              <w:rPr>
                <w:sz w:val="20"/>
              </w:rPr>
            </w:pPr>
            <w:r>
              <w:rPr>
                <w:sz w:val="20"/>
              </w:rPr>
              <w:t>11,4</w:t>
            </w:r>
          </w:p>
          <w:p w14:paraId="68D56EDF" w14:textId="77777777" w:rsidR="00132F98" w:rsidRDefault="00584E7E">
            <w:pPr>
              <w:keepNext/>
              <w:keepLines/>
              <w:jc w:val="center"/>
              <w:rPr>
                <w:sz w:val="20"/>
              </w:rPr>
            </w:pPr>
            <w:r>
              <w:rPr>
                <w:sz w:val="20"/>
              </w:rPr>
              <w:t>(0,7; 169,3)</w:t>
            </w:r>
          </w:p>
        </w:tc>
        <w:tc>
          <w:tcPr>
            <w:tcW w:w="2835" w:type="dxa"/>
            <w:shd w:val="clear" w:color="auto" w:fill="auto"/>
            <w:hideMark/>
          </w:tcPr>
          <w:p w14:paraId="68D56EE0" w14:textId="77777777" w:rsidR="00132F98" w:rsidRDefault="00584E7E">
            <w:pPr>
              <w:keepNext/>
              <w:keepLines/>
              <w:jc w:val="center"/>
              <w:rPr>
                <w:sz w:val="20"/>
              </w:rPr>
            </w:pPr>
            <w:r>
              <w:rPr>
                <w:sz w:val="20"/>
              </w:rPr>
              <w:t>42</w:t>
            </w:r>
          </w:p>
          <w:p w14:paraId="68D56EE1" w14:textId="77777777" w:rsidR="00132F98" w:rsidRDefault="00584E7E">
            <w:pPr>
              <w:keepNext/>
              <w:keepLines/>
              <w:jc w:val="center"/>
              <w:rPr>
                <w:sz w:val="20"/>
              </w:rPr>
            </w:pPr>
            <w:r>
              <w:rPr>
                <w:sz w:val="20"/>
              </w:rPr>
              <w:t>3,9</w:t>
            </w:r>
          </w:p>
          <w:p w14:paraId="68D56EE2" w14:textId="77777777" w:rsidR="00132F98" w:rsidRDefault="00584E7E">
            <w:pPr>
              <w:keepNext/>
              <w:keepLines/>
              <w:jc w:val="center"/>
              <w:rPr>
                <w:sz w:val="20"/>
              </w:rPr>
            </w:pPr>
            <w:r>
              <w:rPr>
                <w:sz w:val="20"/>
              </w:rPr>
              <w:t>(0,0; 518,0)</w:t>
            </w:r>
          </w:p>
        </w:tc>
      </w:tr>
      <w:tr w:rsidR="00132F98" w14:paraId="68D56EE9" w14:textId="77777777">
        <w:tc>
          <w:tcPr>
            <w:tcW w:w="2547" w:type="dxa"/>
            <w:vMerge/>
          </w:tcPr>
          <w:p w14:paraId="68D56EE4" w14:textId="77777777" w:rsidR="00132F98" w:rsidRDefault="00132F98">
            <w:pPr>
              <w:rPr>
                <w:sz w:val="20"/>
              </w:rPr>
            </w:pPr>
          </w:p>
        </w:tc>
        <w:tc>
          <w:tcPr>
            <w:tcW w:w="2410" w:type="dxa"/>
            <w:shd w:val="clear" w:color="auto" w:fill="auto"/>
          </w:tcPr>
          <w:p w14:paraId="68D56EE5" w14:textId="77777777" w:rsidR="00132F98" w:rsidRDefault="00584E7E">
            <w:pPr>
              <w:autoSpaceDE w:val="0"/>
              <w:autoSpaceDN w:val="0"/>
              <w:adjustRightInd w:val="0"/>
              <w:rPr>
                <w:sz w:val="20"/>
                <w:vertAlign w:val="superscript"/>
              </w:rPr>
            </w:pPr>
            <w:r>
              <w:rPr>
                <w:sz w:val="20"/>
              </w:rPr>
              <w:t>Zmniejszenie średniej miesięcznej częstości napadów padaczkowych, skorygowanej względem wartości początkowych, w porównaniu z placebo</w:t>
            </w:r>
          </w:p>
        </w:tc>
        <w:tc>
          <w:tcPr>
            <w:tcW w:w="2409" w:type="dxa"/>
            <w:shd w:val="clear" w:color="auto" w:fill="auto"/>
          </w:tcPr>
          <w:p w14:paraId="68D56EE6" w14:textId="77777777" w:rsidR="00132F98" w:rsidRDefault="00584E7E">
            <w:pPr>
              <w:jc w:val="center"/>
              <w:rPr>
                <w:sz w:val="20"/>
              </w:rPr>
            </w:pPr>
            <w:r>
              <w:rPr>
                <w:sz w:val="20"/>
              </w:rPr>
              <w:t>-</w:t>
            </w:r>
          </w:p>
        </w:tc>
        <w:tc>
          <w:tcPr>
            <w:tcW w:w="2835" w:type="dxa"/>
            <w:shd w:val="clear" w:color="auto" w:fill="auto"/>
          </w:tcPr>
          <w:p w14:paraId="68D56EE7" w14:textId="77777777" w:rsidR="00132F98" w:rsidRDefault="00584E7E">
            <w:pPr>
              <w:jc w:val="center"/>
              <w:rPr>
                <w:sz w:val="20"/>
              </w:rPr>
            </w:pPr>
            <w:r>
              <w:rPr>
                <w:sz w:val="20"/>
              </w:rPr>
              <w:t>54,9%</w:t>
            </w:r>
          </w:p>
          <w:p w14:paraId="68D56EE8" w14:textId="77777777" w:rsidR="00132F98" w:rsidRDefault="00584E7E">
            <w:pPr>
              <w:jc w:val="center"/>
              <w:rPr>
                <w:sz w:val="20"/>
              </w:rPr>
            </w:pPr>
            <w:r>
              <w:rPr>
                <w:sz w:val="20"/>
              </w:rPr>
              <w:t xml:space="preserve">p&lt;0,001 </w:t>
            </w:r>
          </w:p>
        </w:tc>
      </w:tr>
      <w:tr w:rsidR="00132F98" w14:paraId="68D56EF4" w14:textId="77777777">
        <w:tc>
          <w:tcPr>
            <w:tcW w:w="2547" w:type="dxa"/>
            <w:shd w:val="clear" w:color="auto" w:fill="auto"/>
          </w:tcPr>
          <w:p w14:paraId="68D56EEA" w14:textId="77777777" w:rsidR="00132F98" w:rsidRDefault="00584E7E">
            <w:pPr>
              <w:pStyle w:val="paragraph"/>
              <w:spacing w:before="0" w:beforeAutospacing="0" w:after="0" w:afterAutospacing="0"/>
              <w:textAlignment w:val="baseline"/>
              <w:rPr>
                <w:rFonts w:cs="Times New Roman"/>
                <w:sz w:val="18"/>
                <w:szCs w:val="18"/>
              </w:rPr>
            </w:pPr>
            <w:r>
              <w:rPr>
                <w:rFonts w:cs="Times New Roman"/>
                <w:b/>
                <w:bCs/>
                <w:sz w:val="20"/>
                <w:szCs w:val="20"/>
              </w:rPr>
              <w:t>% zmniejszenie częstości napadów padaczkowych</w:t>
            </w:r>
          </w:p>
          <w:p w14:paraId="68D56EEB" w14:textId="77777777" w:rsidR="00132F98" w:rsidRDefault="00132F98">
            <w:pPr>
              <w:pStyle w:val="paragraph"/>
              <w:spacing w:before="0" w:beforeAutospacing="0" w:after="0" w:afterAutospacing="0"/>
              <w:textAlignment w:val="baseline"/>
              <w:rPr>
                <w:rFonts w:cs="Times New Roman"/>
                <w:sz w:val="18"/>
                <w:szCs w:val="18"/>
              </w:rPr>
            </w:pPr>
          </w:p>
          <w:p w14:paraId="68D56EEC" w14:textId="77777777" w:rsidR="00132F98" w:rsidRDefault="00584E7E">
            <w:pPr>
              <w:rPr>
                <w:b/>
                <w:sz w:val="20"/>
              </w:rPr>
            </w:pPr>
            <w:r>
              <w:rPr>
                <w:b/>
                <w:sz w:val="20"/>
              </w:rPr>
              <w:t xml:space="preserve">Okres leczenia </w:t>
            </w:r>
            <w:r>
              <w:rPr>
                <w:b/>
                <w:sz w:val="20"/>
              </w:rPr>
              <w:t>podtrzymującego</w:t>
            </w:r>
            <w:r>
              <w:rPr>
                <w:sz w:val="20"/>
              </w:rPr>
              <w:t> </w:t>
            </w:r>
          </w:p>
        </w:tc>
        <w:tc>
          <w:tcPr>
            <w:tcW w:w="2410" w:type="dxa"/>
            <w:shd w:val="clear" w:color="auto" w:fill="auto"/>
          </w:tcPr>
          <w:p w14:paraId="68D56EED"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20"/>
                <w:szCs w:val="20"/>
              </w:rPr>
              <w:t>Liczba (%) pacjentów z ≥50% zmniejszeniem miesięcznej częstości napadów padaczkowych — zmiana względem wartości początkowej</w:t>
            </w:r>
          </w:p>
          <w:p w14:paraId="68D56EEE" w14:textId="77777777" w:rsidR="00132F98" w:rsidRDefault="00584E7E">
            <w:pPr>
              <w:rPr>
                <w:sz w:val="20"/>
              </w:rPr>
            </w:pPr>
            <w:r>
              <w:rPr>
                <w:sz w:val="20"/>
              </w:rPr>
              <w:t>Wielkość efektu</w:t>
            </w:r>
            <w:r>
              <w:rPr>
                <w:sz w:val="20"/>
                <w:vertAlign w:val="superscript"/>
              </w:rPr>
              <w:t>1</w:t>
            </w:r>
          </w:p>
          <w:p w14:paraId="68D56EEF" w14:textId="77777777" w:rsidR="00132F98" w:rsidRDefault="00584E7E">
            <w:pPr>
              <w:rPr>
                <w:sz w:val="20"/>
              </w:rPr>
            </w:pPr>
            <w:r>
              <w:rPr>
                <w:sz w:val="20"/>
              </w:rPr>
              <w:t>Ryzyko względne</w:t>
            </w:r>
            <w:r>
              <w:rPr>
                <w:sz w:val="16"/>
                <w:szCs w:val="16"/>
              </w:rPr>
              <w:t> </w:t>
            </w:r>
          </w:p>
        </w:tc>
        <w:tc>
          <w:tcPr>
            <w:tcW w:w="2409" w:type="dxa"/>
            <w:shd w:val="clear" w:color="auto" w:fill="auto"/>
          </w:tcPr>
          <w:p w14:paraId="68D56EF0" w14:textId="77777777" w:rsidR="00132F98" w:rsidRDefault="00584E7E">
            <w:pPr>
              <w:jc w:val="center"/>
              <w:rPr>
                <w:sz w:val="20"/>
              </w:rPr>
            </w:pPr>
            <w:r>
              <w:rPr>
                <w:sz w:val="20"/>
              </w:rPr>
              <w:t>4 (9,1%) </w:t>
            </w:r>
          </w:p>
        </w:tc>
        <w:tc>
          <w:tcPr>
            <w:tcW w:w="2835" w:type="dxa"/>
            <w:shd w:val="clear" w:color="auto" w:fill="auto"/>
          </w:tcPr>
          <w:p w14:paraId="68D56EF1" w14:textId="77777777" w:rsidR="00132F98" w:rsidRDefault="00584E7E">
            <w:pPr>
              <w:pStyle w:val="paragraph"/>
              <w:spacing w:before="0" w:beforeAutospacing="0" w:after="0" w:afterAutospacing="0"/>
              <w:jc w:val="center"/>
              <w:textAlignment w:val="baseline"/>
              <w:rPr>
                <w:rFonts w:cs="Times New Roman"/>
                <w:sz w:val="18"/>
                <w:szCs w:val="18"/>
              </w:rPr>
            </w:pPr>
            <w:r>
              <w:rPr>
                <w:rFonts w:cs="Times New Roman"/>
                <w:sz w:val="20"/>
                <w:szCs w:val="20"/>
              </w:rPr>
              <w:t>23 (54,8%)</w:t>
            </w:r>
          </w:p>
          <w:p w14:paraId="68D56EF2" w14:textId="77777777" w:rsidR="00132F98" w:rsidRDefault="00584E7E">
            <w:pPr>
              <w:jc w:val="center"/>
              <w:rPr>
                <w:sz w:val="20"/>
              </w:rPr>
            </w:pPr>
            <w:r>
              <w:rPr>
                <w:sz w:val="20"/>
              </w:rPr>
              <w:t>ES=45,7</w:t>
            </w:r>
          </w:p>
          <w:p w14:paraId="68D56EF3" w14:textId="77777777" w:rsidR="00132F98" w:rsidRDefault="00584E7E">
            <w:pPr>
              <w:jc w:val="center"/>
              <w:rPr>
                <w:sz w:val="20"/>
              </w:rPr>
            </w:pPr>
            <w:r>
              <w:rPr>
                <w:sz w:val="20"/>
              </w:rPr>
              <w:t>RR: 6,02</w:t>
            </w:r>
          </w:p>
        </w:tc>
      </w:tr>
      <w:tr w:rsidR="00132F98" w14:paraId="68D56EFD" w14:textId="77777777">
        <w:tc>
          <w:tcPr>
            <w:tcW w:w="2547" w:type="dxa"/>
            <w:vAlign w:val="center"/>
          </w:tcPr>
          <w:p w14:paraId="68D56EF5" w14:textId="77777777" w:rsidR="00132F98" w:rsidRDefault="00132F98">
            <w:pPr>
              <w:rPr>
                <w:sz w:val="20"/>
              </w:rPr>
            </w:pPr>
          </w:p>
        </w:tc>
        <w:tc>
          <w:tcPr>
            <w:tcW w:w="2410" w:type="dxa"/>
            <w:shd w:val="clear" w:color="auto" w:fill="auto"/>
          </w:tcPr>
          <w:p w14:paraId="68D56EF6"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20"/>
                <w:szCs w:val="20"/>
              </w:rPr>
              <w:t xml:space="preserve">Liczba (%) pacjentów z ≥75% </w:t>
            </w:r>
            <w:r>
              <w:rPr>
                <w:rFonts w:cs="Times New Roman"/>
                <w:sz w:val="20"/>
                <w:szCs w:val="20"/>
              </w:rPr>
              <w:t>zmniejszeniem miesięcznej częstości napadów padaczkowych — zmiana względem wartości początkowej</w:t>
            </w:r>
          </w:p>
          <w:p w14:paraId="68D56EF7" w14:textId="77777777" w:rsidR="00132F98" w:rsidRDefault="00584E7E">
            <w:pPr>
              <w:rPr>
                <w:sz w:val="20"/>
              </w:rPr>
            </w:pPr>
            <w:r>
              <w:rPr>
                <w:sz w:val="20"/>
              </w:rPr>
              <w:t>Wielkość efektu</w:t>
            </w:r>
            <w:r>
              <w:rPr>
                <w:sz w:val="20"/>
                <w:vertAlign w:val="superscript"/>
              </w:rPr>
              <w:t>1</w:t>
            </w:r>
          </w:p>
          <w:p w14:paraId="68D56EF8" w14:textId="77777777" w:rsidR="00132F98" w:rsidRDefault="00584E7E">
            <w:pPr>
              <w:rPr>
                <w:sz w:val="20"/>
              </w:rPr>
            </w:pPr>
            <w:r>
              <w:rPr>
                <w:sz w:val="20"/>
              </w:rPr>
              <w:t>Ryzyko względne</w:t>
            </w:r>
          </w:p>
        </w:tc>
        <w:tc>
          <w:tcPr>
            <w:tcW w:w="2409" w:type="dxa"/>
            <w:shd w:val="clear" w:color="auto" w:fill="auto"/>
          </w:tcPr>
          <w:p w14:paraId="68D56EF9" w14:textId="77777777" w:rsidR="00132F98" w:rsidRDefault="00584E7E">
            <w:pPr>
              <w:keepNext/>
              <w:keepLines/>
              <w:jc w:val="center"/>
              <w:rPr>
                <w:sz w:val="20"/>
              </w:rPr>
            </w:pPr>
            <w:r>
              <w:rPr>
                <w:sz w:val="20"/>
              </w:rPr>
              <w:t>2 (4,5%) </w:t>
            </w:r>
          </w:p>
        </w:tc>
        <w:tc>
          <w:tcPr>
            <w:tcW w:w="2835" w:type="dxa"/>
            <w:shd w:val="clear" w:color="auto" w:fill="auto"/>
          </w:tcPr>
          <w:p w14:paraId="68D56EFA" w14:textId="77777777" w:rsidR="00132F98" w:rsidRDefault="00584E7E">
            <w:pPr>
              <w:pStyle w:val="paragraph"/>
              <w:spacing w:before="0" w:beforeAutospacing="0" w:after="0" w:afterAutospacing="0"/>
              <w:jc w:val="center"/>
              <w:textAlignment w:val="baseline"/>
              <w:rPr>
                <w:rFonts w:cs="Times New Roman"/>
                <w:sz w:val="18"/>
                <w:szCs w:val="18"/>
              </w:rPr>
            </w:pPr>
            <w:r>
              <w:rPr>
                <w:rFonts w:cs="Times New Roman"/>
                <w:sz w:val="20"/>
                <w:szCs w:val="20"/>
              </w:rPr>
              <w:t>17 (40,5%)</w:t>
            </w:r>
          </w:p>
          <w:p w14:paraId="68D56EFB" w14:textId="77777777" w:rsidR="00132F98" w:rsidRDefault="00584E7E">
            <w:pPr>
              <w:keepNext/>
              <w:keepLines/>
              <w:jc w:val="center"/>
              <w:rPr>
                <w:sz w:val="20"/>
              </w:rPr>
            </w:pPr>
            <w:r>
              <w:rPr>
                <w:sz w:val="20"/>
              </w:rPr>
              <w:t>ES=36,0%</w:t>
            </w:r>
          </w:p>
          <w:p w14:paraId="68D56EFC" w14:textId="77777777" w:rsidR="00132F98" w:rsidRDefault="00584E7E">
            <w:pPr>
              <w:keepNext/>
              <w:keepLines/>
              <w:jc w:val="center"/>
              <w:rPr>
                <w:sz w:val="20"/>
              </w:rPr>
            </w:pPr>
            <w:r>
              <w:rPr>
                <w:sz w:val="20"/>
              </w:rPr>
              <w:t>RR: 8,90</w:t>
            </w:r>
          </w:p>
        </w:tc>
      </w:tr>
      <w:tr w:rsidR="00132F98" w14:paraId="68D56F05" w14:textId="77777777">
        <w:tc>
          <w:tcPr>
            <w:tcW w:w="2547" w:type="dxa"/>
            <w:tcBorders>
              <w:bottom w:val="single" w:sz="4" w:space="0" w:color="auto"/>
            </w:tcBorders>
            <w:vAlign w:val="center"/>
          </w:tcPr>
          <w:p w14:paraId="68D56EFE" w14:textId="77777777" w:rsidR="00132F98" w:rsidRDefault="00132F98">
            <w:pPr>
              <w:rPr>
                <w:sz w:val="20"/>
              </w:rPr>
            </w:pPr>
          </w:p>
        </w:tc>
        <w:tc>
          <w:tcPr>
            <w:tcW w:w="2410" w:type="dxa"/>
            <w:tcBorders>
              <w:bottom w:val="single" w:sz="4" w:space="0" w:color="auto"/>
            </w:tcBorders>
            <w:shd w:val="clear" w:color="auto" w:fill="auto"/>
          </w:tcPr>
          <w:p w14:paraId="68D56EFF" w14:textId="77777777" w:rsidR="00132F98" w:rsidRDefault="00584E7E">
            <w:pPr>
              <w:pStyle w:val="paragraph"/>
              <w:spacing w:before="0" w:beforeAutospacing="0" w:after="0" w:afterAutospacing="0"/>
              <w:textAlignment w:val="baseline"/>
              <w:rPr>
                <w:rFonts w:cs="Times New Roman"/>
                <w:sz w:val="18"/>
                <w:szCs w:val="18"/>
              </w:rPr>
            </w:pPr>
            <w:r>
              <w:rPr>
                <w:rFonts w:cs="Times New Roman"/>
                <w:sz w:val="20"/>
                <w:szCs w:val="20"/>
              </w:rPr>
              <w:t xml:space="preserve">Liczba (%) pacjentów z ≥100% zmniejszeniem miesięcznej częstości napadów </w:t>
            </w:r>
            <w:r>
              <w:rPr>
                <w:rFonts w:cs="Times New Roman"/>
                <w:sz w:val="20"/>
                <w:szCs w:val="20"/>
              </w:rPr>
              <w:t>padaczkowych — zmiana względem wartości początkowej</w:t>
            </w:r>
          </w:p>
          <w:p w14:paraId="68D56F00" w14:textId="77777777" w:rsidR="00132F98" w:rsidRDefault="00584E7E">
            <w:pPr>
              <w:rPr>
                <w:sz w:val="20"/>
              </w:rPr>
            </w:pPr>
            <w:r>
              <w:rPr>
                <w:sz w:val="20"/>
              </w:rPr>
              <w:t>Wielkość efektu</w:t>
            </w:r>
            <w:r>
              <w:rPr>
                <w:sz w:val="16"/>
                <w:szCs w:val="16"/>
                <w:vertAlign w:val="superscript"/>
              </w:rPr>
              <w:t>1</w:t>
            </w:r>
            <w:r>
              <w:rPr>
                <w:sz w:val="16"/>
                <w:szCs w:val="16"/>
              </w:rPr>
              <w:t> </w:t>
            </w:r>
          </w:p>
        </w:tc>
        <w:tc>
          <w:tcPr>
            <w:tcW w:w="2409" w:type="dxa"/>
            <w:tcBorders>
              <w:bottom w:val="single" w:sz="4" w:space="0" w:color="auto"/>
            </w:tcBorders>
            <w:shd w:val="clear" w:color="auto" w:fill="auto"/>
          </w:tcPr>
          <w:p w14:paraId="68D56F01" w14:textId="77777777" w:rsidR="00132F98" w:rsidRDefault="00584E7E">
            <w:pPr>
              <w:keepNext/>
              <w:keepLines/>
              <w:jc w:val="center"/>
              <w:rPr>
                <w:sz w:val="20"/>
              </w:rPr>
            </w:pPr>
            <w:r>
              <w:rPr>
                <w:sz w:val="20"/>
              </w:rPr>
              <w:t>0 (0%) </w:t>
            </w:r>
          </w:p>
        </w:tc>
        <w:tc>
          <w:tcPr>
            <w:tcW w:w="2835" w:type="dxa"/>
            <w:tcBorders>
              <w:bottom w:val="single" w:sz="4" w:space="0" w:color="auto"/>
            </w:tcBorders>
            <w:shd w:val="clear" w:color="auto" w:fill="auto"/>
          </w:tcPr>
          <w:p w14:paraId="68D56F02" w14:textId="77777777" w:rsidR="00132F98" w:rsidRDefault="00584E7E">
            <w:pPr>
              <w:pStyle w:val="paragraph"/>
              <w:spacing w:before="0" w:beforeAutospacing="0" w:after="0" w:afterAutospacing="0"/>
              <w:jc w:val="center"/>
              <w:textAlignment w:val="baseline"/>
              <w:rPr>
                <w:rFonts w:cs="Times New Roman"/>
                <w:sz w:val="18"/>
                <w:szCs w:val="18"/>
              </w:rPr>
            </w:pPr>
            <w:r>
              <w:rPr>
                <w:rFonts w:cs="Times New Roman"/>
                <w:sz w:val="20"/>
                <w:szCs w:val="20"/>
              </w:rPr>
              <w:t>2 (4,8%)</w:t>
            </w:r>
          </w:p>
          <w:p w14:paraId="68D56F03" w14:textId="77777777" w:rsidR="00132F98" w:rsidRDefault="00584E7E">
            <w:pPr>
              <w:keepNext/>
              <w:keepLines/>
              <w:jc w:val="center"/>
              <w:rPr>
                <w:sz w:val="20"/>
              </w:rPr>
            </w:pPr>
            <w:r>
              <w:rPr>
                <w:sz w:val="20"/>
              </w:rPr>
              <w:t>ES=4,8%</w:t>
            </w:r>
          </w:p>
          <w:p w14:paraId="68D56F04" w14:textId="77777777" w:rsidR="00132F98" w:rsidRDefault="00584E7E">
            <w:pPr>
              <w:keepNext/>
              <w:keepLines/>
              <w:jc w:val="center"/>
              <w:rPr>
                <w:sz w:val="20"/>
              </w:rPr>
            </w:pPr>
            <w:r>
              <w:rPr>
                <w:sz w:val="20"/>
              </w:rPr>
              <w:t xml:space="preserve"> </w:t>
            </w:r>
          </w:p>
        </w:tc>
      </w:tr>
      <w:tr w:rsidR="00132F98" w14:paraId="68D56F0C" w14:textId="77777777">
        <w:tc>
          <w:tcPr>
            <w:tcW w:w="4957" w:type="dxa"/>
            <w:gridSpan w:val="2"/>
            <w:tcBorders>
              <w:bottom w:val="single" w:sz="4" w:space="0" w:color="auto"/>
            </w:tcBorders>
            <w:shd w:val="clear" w:color="auto" w:fill="auto"/>
          </w:tcPr>
          <w:p w14:paraId="68D56F06" w14:textId="77777777" w:rsidR="00132F98" w:rsidRDefault="00584E7E">
            <w:pPr>
              <w:rPr>
                <w:b/>
                <w:sz w:val="20"/>
              </w:rPr>
            </w:pPr>
            <w:r>
              <w:rPr>
                <w:b/>
                <w:sz w:val="20"/>
              </w:rPr>
              <w:t>Najdłuższy okres bez napadów (mediana)</w:t>
            </w:r>
          </w:p>
          <w:p w14:paraId="68D56F07" w14:textId="77777777" w:rsidR="00132F98" w:rsidRDefault="00132F98">
            <w:pPr>
              <w:rPr>
                <w:b/>
                <w:sz w:val="20"/>
              </w:rPr>
            </w:pPr>
          </w:p>
          <w:p w14:paraId="68D56F08" w14:textId="77777777" w:rsidR="00132F98" w:rsidRDefault="00584E7E">
            <w:pPr>
              <w:rPr>
                <w:b/>
                <w:sz w:val="20"/>
              </w:rPr>
            </w:pPr>
            <w:r>
              <w:rPr>
                <w:b/>
                <w:sz w:val="20"/>
              </w:rPr>
              <w:t>Okres zwiększania dawki oraz leczenia podtrzymującego</w:t>
            </w:r>
          </w:p>
        </w:tc>
        <w:tc>
          <w:tcPr>
            <w:tcW w:w="2409" w:type="dxa"/>
            <w:tcBorders>
              <w:bottom w:val="single" w:sz="4" w:space="0" w:color="auto"/>
            </w:tcBorders>
            <w:shd w:val="clear" w:color="auto" w:fill="auto"/>
          </w:tcPr>
          <w:p w14:paraId="68D56F09" w14:textId="77777777" w:rsidR="00132F98" w:rsidRDefault="00584E7E">
            <w:pPr>
              <w:keepNext/>
              <w:keepLines/>
              <w:jc w:val="center"/>
              <w:rPr>
                <w:sz w:val="20"/>
              </w:rPr>
            </w:pPr>
            <w:r>
              <w:rPr>
                <w:sz w:val="20"/>
              </w:rPr>
              <w:t>13,0 dni</w:t>
            </w:r>
          </w:p>
        </w:tc>
        <w:tc>
          <w:tcPr>
            <w:tcW w:w="2835" w:type="dxa"/>
            <w:tcBorders>
              <w:bottom w:val="single" w:sz="4" w:space="0" w:color="auto"/>
            </w:tcBorders>
            <w:shd w:val="clear" w:color="auto" w:fill="auto"/>
          </w:tcPr>
          <w:p w14:paraId="68D56F0A" w14:textId="77777777" w:rsidR="00132F98" w:rsidRDefault="00584E7E">
            <w:pPr>
              <w:keepNext/>
              <w:keepLines/>
              <w:jc w:val="center"/>
              <w:rPr>
                <w:sz w:val="20"/>
              </w:rPr>
            </w:pPr>
            <w:r>
              <w:rPr>
                <w:sz w:val="20"/>
              </w:rPr>
              <w:t>22,0 dni</w:t>
            </w:r>
          </w:p>
          <w:p w14:paraId="68D56F0B" w14:textId="77777777" w:rsidR="00132F98" w:rsidRDefault="00584E7E">
            <w:pPr>
              <w:keepNext/>
              <w:keepLines/>
              <w:jc w:val="center"/>
              <w:rPr>
                <w:sz w:val="20"/>
              </w:rPr>
            </w:pPr>
            <w:r>
              <w:rPr>
                <w:sz w:val="20"/>
              </w:rPr>
              <w:t>p=0,004</w:t>
            </w:r>
          </w:p>
        </w:tc>
      </w:tr>
    </w:tbl>
    <w:bookmarkEnd w:id="6"/>
    <w:p w14:paraId="68D56F0D" w14:textId="77777777" w:rsidR="00132F98" w:rsidRDefault="00584E7E">
      <w:pPr>
        <w:autoSpaceDE w:val="0"/>
        <w:autoSpaceDN w:val="0"/>
        <w:adjustRightInd w:val="0"/>
        <w:rPr>
          <w:rFonts w:eastAsia="SimSun"/>
        </w:rPr>
      </w:pPr>
      <w:r>
        <w:rPr>
          <w:sz w:val="18"/>
          <w:szCs w:val="18"/>
          <w:shd w:val="clear" w:color="auto" w:fill="FFFFFF"/>
          <w:vertAlign w:val="superscript"/>
        </w:rPr>
        <w:t>1</w:t>
      </w:r>
      <w:r>
        <w:rPr>
          <w:sz w:val="18"/>
          <w:szCs w:val="18"/>
          <w:shd w:val="clear" w:color="auto" w:fill="FFFFFF"/>
        </w:rPr>
        <w:t xml:space="preserve"> Wielkość efektu (ES; różnica ryzyka) wyliczono jako odsetek między grupą leczenia aktywnego a placebo; RR — ryzyko względne.</w:t>
      </w:r>
    </w:p>
    <w:p w14:paraId="68D56F0E" w14:textId="77777777" w:rsidR="00132F98" w:rsidRDefault="00132F98">
      <w:pPr>
        <w:outlineLvl w:val="0"/>
      </w:pPr>
    </w:p>
    <w:p w14:paraId="68D56F0F" w14:textId="77777777" w:rsidR="00132F98" w:rsidRDefault="00584E7E">
      <w:pPr>
        <w:autoSpaceDE w:val="0"/>
        <w:autoSpaceDN w:val="0"/>
        <w:adjustRightInd w:val="0"/>
        <w:rPr>
          <w:i/>
          <w:iCs/>
        </w:rPr>
      </w:pPr>
      <w:r>
        <w:rPr>
          <w:i/>
          <w:iCs/>
        </w:rPr>
        <w:t>Dorośli</w:t>
      </w:r>
    </w:p>
    <w:p w14:paraId="68D56F10" w14:textId="77777777" w:rsidR="00132F98" w:rsidRDefault="00584E7E">
      <w:pPr>
        <w:autoSpaceDE w:val="0"/>
        <w:autoSpaceDN w:val="0"/>
        <w:adjustRightInd w:val="0"/>
      </w:pPr>
      <w:r>
        <w:t xml:space="preserve">Populację uczestników z zespołem Dravet w badaniu 1 i badaniu 2 stanowiły przede wszystkim dzieci i młodzież, w </w:t>
      </w:r>
      <w:r>
        <w:t>badaniach uczestniczyło jedynie 7 dorosłych pacjentów w wieku 18–19 lat (3,4%), w związku z czym uzyskano ograniczone dane na temat skuteczności i bezpieczeństwa stosowania w populacji dorosłych z zespołem Dravet.</w:t>
      </w:r>
    </w:p>
    <w:p w14:paraId="68D56F11" w14:textId="77777777" w:rsidR="00132F98" w:rsidRDefault="00132F98"/>
    <w:p w14:paraId="68D56F12" w14:textId="77777777" w:rsidR="00132F98" w:rsidRDefault="00584E7E">
      <w:pPr>
        <w:outlineLvl w:val="0"/>
        <w:rPr>
          <w:u w:val="single"/>
        </w:rPr>
      </w:pPr>
      <w:r>
        <w:rPr>
          <w:u w:val="single"/>
        </w:rPr>
        <w:t>Dane z badania prowadzonego metodą otwart</w:t>
      </w:r>
      <w:r>
        <w:rPr>
          <w:u w:val="single"/>
        </w:rPr>
        <w:t>ej próby</w:t>
      </w:r>
    </w:p>
    <w:p w14:paraId="68D56F13" w14:textId="77777777" w:rsidR="00132F98" w:rsidRDefault="00584E7E">
      <w:pPr>
        <w:outlineLvl w:val="0"/>
      </w:pPr>
      <w:r>
        <w:t>Pacjenci z zespołem Dravet uczestniczący w badaniu 1 i badaniu 2 mogli wziąć udział w przedłużeniu badania prowadzonym metodą otwartej próby (badanie 5). Głównym jego celem było określenie długoterminowej skuteczności i bezpieczeństwa stosowania f</w:t>
      </w:r>
      <w:r>
        <w:t>enfluraminy w dawkach 0,2–0,7 mg/kg mc. na dobę, przy czym dawka fenfluraminy mogła być zmieniana w celu optymalizacji leczenia. Przedstawiono dane dla 330 pacjentów uczestniczących w badaniu prowadzonym metodą otwartej próby, otrzymujących fenfluraminę pr</w:t>
      </w:r>
      <w:r>
        <w:t>zez okres do 3 lat (mediana okresu leczenia: 631 dni, zakres: 7–1086). Łącznie 23% pacjentów przerwało udział w badaniu w okresie przedłużenia prowadzonego metodą otwartej próby, w tym 15% z powodu braku skuteczności i 1% z powodu działań niepożądanych.</w:t>
      </w:r>
    </w:p>
    <w:p w14:paraId="68D56F14" w14:textId="77777777" w:rsidR="00132F98" w:rsidRDefault="00132F98">
      <w:pPr>
        <w:outlineLvl w:val="0"/>
      </w:pPr>
    </w:p>
    <w:p w14:paraId="68D56F15" w14:textId="77777777" w:rsidR="00132F98" w:rsidRDefault="00584E7E">
      <w:pPr>
        <w:outlineLvl w:val="0"/>
        <w:rPr>
          <w:b/>
          <w:szCs w:val="22"/>
        </w:rPr>
      </w:pPr>
      <w:r>
        <w:rPr>
          <w:b/>
          <w:bCs/>
          <w:szCs w:val="22"/>
          <w:lang w:val="pl"/>
        </w:rPr>
        <w:t>Z</w:t>
      </w:r>
      <w:r>
        <w:rPr>
          <w:b/>
          <w:bCs/>
          <w:szCs w:val="22"/>
          <w:lang w:val="pl"/>
        </w:rPr>
        <w:t>espół Lennoxa-Gastauta</w:t>
      </w:r>
    </w:p>
    <w:p w14:paraId="68D56F16" w14:textId="77777777" w:rsidR="00132F98" w:rsidRDefault="00132F98">
      <w:pPr>
        <w:outlineLvl w:val="0"/>
      </w:pPr>
    </w:p>
    <w:p w14:paraId="68D56F17" w14:textId="77777777" w:rsidR="00132F98" w:rsidRDefault="00584E7E">
      <w:pPr>
        <w:outlineLvl w:val="0"/>
        <w:rPr>
          <w:i/>
          <w:iCs/>
        </w:rPr>
      </w:pPr>
      <w:r>
        <w:rPr>
          <w:i/>
          <w:iCs/>
          <w:lang w:val="pl"/>
        </w:rPr>
        <w:t xml:space="preserve">Dzieci i osoby dorosłe z zespołem Lennoxa-Gastauta </w:t>
      </w:r>
    </w:p>
    <w:p w14:paraId="68D56F18" w14:textId="77777777" w:rsidR="00132F98" w:rsidRDefault="00584E7E">
      <w:pPr>
        <w:outlineLvl w:val="0"/>
      </w:pPr>
      <w:r>
        <w:rPr>
          <w:lang w:val="pl"/>
        </w:rPr>
        <w:t>Skuteczność fenfluraminy w leczeniu napadów drgawkowych związanych z zespołem Lennoxa-Gastauta u pacjentów w wieku od 2 do 35 lat oceniano w dwóch randomizowanych, badaniach prowad</w:t>
      </w:r>
      <w:r>
        <w:rPr>
          <w:lang w:val="pl"/>
        </w:rPr>
        <w:t>zonych metodą podwójnie ślepej próby z grupą kontrolną otrzymującą placebo (badanie 4, część 1).</w:t>
      </w:r>
    </w:p>
    <w:p w14:paraId="68D56F19" w14:textId="77777777" w:rsidR="00132F98" w:rsidRDefault="00132F98">
      <w:pPr>
        <w:outlineLvl w:val="0"/>
      </w:pPr>
    </w:p>
    <w:p w14:paraId="68D56F1A" w14:textId="77777777" w:rsidR="00132F98" w:rsidRDefault="00584E7E">
      <w:pPr>
        <w:outlineLvl w:val="0"/>
      </w:pPr>
      <w:r>
        <w:rPr>
          <w:lang w:val="pl"/>
        </w:rPr>
        <w:t>W ramach pierwszej części badania 4 porównywano dawkę fenfluraminy wynoszącą 0,7 mg/kg mc. na dobę (N=87) oraz 0,2 mg/kg mc. na dobę (N=89) (do maksymalnej da</w:t>
      </w:r>
      <w:r>
        <w:rPr>
          <w:lang w:val="pl"/>
        </w:rPr>
        <w:t>wki dobowej wynoszącej 26 mg/kg mc.) z placebo. Pacjenci mieli rozpoznany zespół Lennoxa-Gastauta i napady drgawkowe były u nich niewystarczająco kontrolowane pomimo przyjmowania co najmniej jednego leku przeciwpadaczkowego ze stymulacją nerwu błędnego lub</w:t>
      </w:r>
      <w:r>
        <w:rPr>
          <w:lang w:val="pl"/>
        </w:rPr>
        <w:t xml:space="preserve"> bez niej oraz przy zastosowaniu diety ketogenicznej lub bez niej. Badanie obejmowało trwający 4 tygodnie okres początkowy, podczas którego u pacjentów musiało wystąpić co najmniej 8 napadów z upadkiem podczas przyjmowania stabilnego leczenia przeciwpadacz</w:t>
      </w:r>
      <w:r>
        <w:rPr>
          <w:lang w:val="pl"/>
        </w:rPr>
        <w:t>kowego. Do napadów z upadkiem zaliczano: uogólnione napady toniczno-kloniczne, wtórnie uogólnione napady toniczno-kloniczne, toniczne, atoniczne lub napady toniczno-atoniczne, które powodowały upadek pacjenta. Po okresie początkowym przeprowadzano randomiz</w:t>
      </w:r>
      <w:r>
        <w:rPr>
          <w:lang w:val="pl"/>
        </w:rPr>
        <w:t xml:space="preserve">ację do trwającego 2 tygodnie okresu dobierania dawki oraz następującego po nim trwającego 12 tygodni okresu leczenia podtrzymującego, podczas którego pacjenci przyjmowali stałą dawkę fenfluraminy.    </w:t>
      </w:r>
    </w:p>
    <w:p w14:paraId="68D56F1B" w14:textId="77777777" w:rsidR="00132F98" w:rsidRDefault="00132F98">
      <w:pPr>
        <w:outlineLvl w:val="0"/>
      </w:pPr>
    </w:p>
    <w:p w14:paraId="68D56F1C" w14:textId="77777777" w:rsidR="00132F98" w:rsidRDefault="00584E7E">
      <w:pPr>
        <w:outlineLvl w:val="0"/>
      </w:pPr>
      <w:r>
        <w:rPr>
          <w:lang w:val="pl"/>
        </w:rPr>
        <w:t>W ramach pierwszej części badania 4, 99% pacjentów pr</w:t>
      </w:r>
      <w:r>
        <w:rPr>
          <w:lang w:val="pl"/>
        </w:rPr>
        <w:t xml:space="preserve">zyjmowało od 1 do 4 stosowanych jednocześnie leków przeciwpadaczkowych. Najczęściej przyjmowanymi stosowanymi jednocześnie lekami przeciwpadaczkowymi (przyjmowanymi przez co najmniej 25% pacjentów) były: klobazam (45,2%), lamotrygina (33,5%) i walproinian </w:t>
      </w:r>
      <w:r>
        <w:rPr>
          <w:lang w:val="pl"/>
        </w:rPr>
        <w:t>(55,9%).</w:t>
      </w:r>
    </w:p>
    <w:p w14:paraId="68D56F1D" w14:textId="77777777" w:rsidR="00132F98" w:rsidRDefault="00132F98">
      <w:pPr>
        <w:outlineLvl w:val="0"/>
      </w:pPr>
    </w:p>
    <w:p w14:paraId="68D56F1E" w14:textId="77777777" w:rsidR="00132F98" w:rsidRDefault="00584E7E">
      <w:pPr>
        <w:outlineLvl w:val="0"/>
      </w:pPr>
      <w:r>
        <w:rPr>
          <w:lang w:val="pl"/>
        </w:rPr>
        <w:t>Głównym punktem końcowym oceny skuteczności w pierwszej części badania 4 była procentowa zmiana w stosunku do punktu początkowego w zakresie częstości napadów drgawkowych z upadkiem w okresie 28 dni w trakcie połączonego 14-tygodniowego okresu dobierania d</w:t>
      </w:r>
      <w:r>
        <w:rPr>
          <w:lang w:val="pl"/>
        </w:rPr>
        <w:t>awki i leczenia podtrzymującego (tj. w okresie leczenia) w grupie przyjmującej fenfluraminę w dawce 0,7 mg/kg mc. na dobę w porównaniu z grupą przyjmującą placebo. Najważniejsze drugorzędowe punkty końcowe obejmowały odsetek pacjentów w grupie przyjmującej</w:t>
      </w:r>
      <w:r>
        <w:rPr>
          <w:lang w:val="pl"/>
        </w:rPr>
        <w:t xml:space="preserve"> fenfluraminę w dawce 0,7 mg/kg mc. na dobę, którzy osiągnęli ≥50% zmniejszenie częstości występowania napadów drgawkowych z upadkiem od punktu początkowego w okresie 28 dni w porównaniu z grupą przyjmującą placebo oraz odsetek pacjentów, u których wystąpi</w:t>
      </w:r>
      <w:r>
        <w:rPr>
          <w:lang w:val="pl"/>
        </w:rPr>
        <w:t xml:space="preserve">ła poprawa (minimalna, duża lub bardzo duża) w ocenie globalnego wrażenia klinicznego - poprawa (CGI-I) na podstawie oceny głównego badacza w grupie przyjmującej fenfluraminę w dawce 0,7 mg/kg mc. na dobę w porównaniu z grupą przyjmującą placebo. </w:t>
      </w:r>
    </w:p>
    <w:p w14:paraId="68D56F1F" w14:textId="77777777" w:rsidR="00132F98" w:rsidRDefault="00132F98">
      <w:pPr>
        <w:outlineLvl w:val="0"/>
      </w:pPr>
    </w:p>
    <w:p w14:paraId="68D56F20" w14:textId="77777777" w:rsidR="00132F98" w:rsidRDefault="00584E7E">
      <w:pPr>
        <w:outlineLvl w:val="0"/>
        <w:rPr>
          <w:lang w:val="pl"/>
        </w:rPr>
      </w:pPr>
      <w:r>
        <w:rPr>
          <w:lang w:val="pl"/>
        </w:rPr>
        <w:t>W pierw</w:t>
      </w:r>
      <w:r>
        <w:rPr>
          <w:lang w:val="pl"/>
        </w:rPr>
        <w:t xml:space="preserve">szej części badania 4 mediana procentowej zmiany (zmniejszenie) w stosunku do punktu początkowego w zakresie częstości napadów drgawkowych z upadkiem w okresie 28 dni była istotnie większa w grupie przyjmującej fenfluraminę w dawce 0,7 mg/kg mc. na dobę w </w:t>
      </w:r>
      <w:r>
        <w:rPr>
          <w:lang w:val="pl"/>
        </w:rPr>
        <w:t xml:space="preserve">porównaniu z grupą przyjmującą placebo (Tabela 6). Zmniejszenie częstości występowania napadów drgawkowych z </w:t>
      </w:r>
      <w:r>
        <w:rPr>
          <w:lang w:val="pl"/>
        </w:rPr>
        <w:lastRenderedPageBreak/>
        <w:t xml:space="preserve">upadkiem obserwowano w ciągu 2 tygodni od rozpoczęcia leczenia fenfluraminą i efekt ten utrzymywał się przez 14-tygodniowy okres leczenia. </w:t>
      </w:r>
    </w:p>
    <w:p w14:paraId="68D56F21" w14:textId="77777777" w:rsidR="00132F98" w:rsidRDefault="00132F98">
      <w:pPr>
        <w:outlineLvl w:val="0"/>
        <w:rPr>
          <w:lang w:val="pl"/>
        </w:rPr>
      </w:pPr>
    </w:p>
    <w:p w14:paraId="68D56F22" w14:textId="77777777" w:rsidR="00132F98" w:rsidRDefault="00584E7E">
      <w:pPr>
        <w:outlineLvl w:val="0"/>
        <w:rPr>
          <w:lang w:val="pl"/>
        </w:rPr>
      </w:pPr>
      <w:r>
        <w:rPr>
          <w:lang w:val="pl"/>
        </w:rPr>
        <w:t xml:space="preserve">Wśród </w:t>
      </w:r>
      <w:r>
        <w:rPr>
          <w:lang w:val="pl"/>
        </w:rPr>
        <w:t xml:space="preserve">uczestników z ≥124 napadami z upadkiem w okresie 28 dni w okresie początkowym, zmniejszenie częstości napadów z upadkiem (ang. drop seizure frequency, DSF) wynosiło -19,98%, </w:t>
      </w:r>
      <w:r>
        <w:rPr>
          <w:lang w:val="pl"/>
        </w:rPr>
        <w:softHyphen/>
        <w:t>7,37%, -11,21% odpowiednio u uczestników w grupie przyjmującej fenfluraminę w daw</w:t>
      </w:r>
      <w:r>
        <w:rPr>
          <w:lang w:val="pl"/>
        </w:rPr>
        <w:t>ce 0,7 mg/kg mc. na dobę, 0,2 mg/kg mc. na dobę i w grupie otrzymującej placebo.</w:t>
      </w:r>
    </w:p>
    <w:p w14:paraId="68D56F23" w14:textId="77777777" w:rsidR="00132F98" w:rsidRDefault="00132F98">
      <w:pPr>
        <w:outlineLvl w:val="0"/>
      </w:pPr>
    </w:p>
    <w:p w14:paraId="68D56F24" w14:textId="77777777" w:rsidR="00132F98" w:rsidRDefault="00584E7E">
      <w:pPr>
        <w:suppressAutoHyphens/>
        <w:spacing w:before="120" w:after="40"/>
        <w:ind w:left="1440" w:hanging="1440"/>
        <w:rPr>
          <w:b/>
          <w:bCs/>
        </w:rPr>
      </w:pPr>
      <w:r>
        <w:rPr>
          <w:b/>
          <w:bCs/>
          <w:lang w:val="pl"/>
        </w:rPr>
        <w:t>Tabela 7.</w:t>
      </w:r>
      <w:r>
        <w:rPr>
          <w:b/>
          <w:bCs/>
          <w:lang w:val="pl"/>
        </w:rPr>
        <w:tab/>
        <w:t>Zespół Lennoxa-Gastauta: wyniki dla wybranych punktów końcowych pierwszej części badania 4 (okres leczenia podtrzymującego)</w:t>
      </w:r>
    </w:p>
    <w:tbl>
      <w:tblPr>
        <w:tblStyle w:val="C-Table"/>
        <w:tblW w:w="4866" w:type="pct"/>
        <w:tblLayout w:type="fixed"/>
        <w:tblLook w:val="04A0" w:firstRow="1" w:lastRow="0" w:firstColumn="1" w:lastColumn="0" w:noHBand="0" w:noVBand="1"/>
      </w:tblPr>
      <w:tblGrid>
        <w:gridCol w:w="3699"/>
        <w:gridCol w:w="2626"/>
        <w:gridCol w:w="2487"/>
      </w:tblGrid>
      <w:tr w:rsidR="00132F98" w14:paraId="68D56F28" w14:textId="77777777">
        <w:trPr>
          <w:tblHeader/>
        </w:trPr>
        <w:tc>
          <w:tcPr>
            <w:tcW w:w="2099" w:type="pct"/>
          </w:tcPr>
          <w:p w14:paraId="68D56F25" w14:textId="77777777" w:rsidR="00132F98" w:rsidRDefault="00132F98">
            <w:pPr>
              <w:pStyle w:val="C-TableHeader"/>
              <w:keepNext w:val="0"/>
              <w:spacing w:before="20" w:after="20"/>
              <w:rPr>
                <w:rFonts w:eastAsiaTheme="minorHAnsi"/>
                <w:szCs w:val="22"/>
                <w:lang w:val="pl-PL"/>
              </w:rPr>
            </w:pPr>
          </w:p>
        </w:tc>
        <w:tc>
          <w:tcPr>
            <w:tcW w:w="1490" w:type="pct"/>
            <w:vAlign w:val="bottom"/>
          </w:tcPr>
          <w:p w14:paraId="68D56F26" w14:textId="77777777" w:rsidR="00132F98" w:rsidRDefault="00584E7E">
            <w:pPr>
              <w:pStyle w:val="C-TableHeader"/>
              <w:keepNext w:val="0"/>
              <w:spacing w:before="20" w:after="20"/>
              <w:jc w:val="center"/>
              <w:rPr>
                <w:rFonts w:eastAsiaTheme="minorHAnsi"/>
                <w:szCs w:val="22"/>
              </w:rPr>
            </w:pPr>
            <w:r>
              <w:rPr>
                <w:rFonts w:eastAsiaTheme="minorHAnsi"/>
                <w:bCs/>
                <w:szCs w:val="22"/>
                <w:lang w:val="pl"/>
              </w:rPr>
              <w:t>Placebo</w:t>
            </w:r>
            <w:r>
              <w:rPr>
                <w:rFonts w:eastAsiaTheme="minorHAnsi"/>
                <w:b w:val="0"/>
                <w:szCs w:val="22"/>
                <w:lang w:val="pl"/>
              </w:rPr>
              <w:br/>
            </w:r>
            <w:r>
              <w:rPr>
                <w:rFonts w:eastAsiaTheme="minorHAnsi"/>
                <w:bCs/>
                <w:szCs w:val="22"/>
                <w:lang w:val="pl"/>
              </w:rPr>
              <w:t>(N = 87)</w:t>
            </w:r>
          </w:p>
        </w:tc>
        <w:tc>
          <w:tcPr>
            <w:tcW w:w="1411" w:type="pct"/>
            <w:vAlign w:val="bottom"/>
          </w:tcPr>
          <w:p w14:paraId="68D56F27" w14:textId="77777777" w:rsidR="00132F98" w:rsidRDefault="00584E7E">
            <w:pPr>
              <w:pStyle w:val="C-TableHeader"/>
              <w:keepNext w:val="0"/>
              <w:spacing w:before="20" w:after="20"/>
              <w:jc w:val="center"/>
              <w:rPr>
                <w:rFonts w:eastAsiaTheme="minorHAnsi"/>
                <w:szCs w:val="22"/>
                <w:lang w:val="pl-PL"/>
              </w:rPr>
            </w:pPr>
            <w:r>
              <w:rPr>
                <w:rFonts w:eastAsiaTheme="minorHAnsi"/>
                <w:bCs/>
                <w:szCs w:val="22"/>
                <w:lang w:val="pl"/>
              </w:rPr>
              <w:t xml:space="preserve">Fenfluramina </w:t>
            </w:r>
            <w:r>
              <w:rPr>
                <w:rFonts w:eastAsiaTheme="minorHAnsi"/>
                <w:b w:val="0"/>
                <w:szCs w:val="22"/>
                <w:lang w:val="pl"/>
              </w:rPr>
              <w:br/>
            </w:r>
            <w:r>
              <w:rPr>
                <w:rFonts w:eastAsiaTheme="minorHAnsi"/>
                <w:bCs/>
                <w:szCs w:val="22"/>
                <w:lang w:val="pl"/>
              </w:rPr>
              <w:t>0,7 mg/k</w:t>
            </w:r>
            <w:r>
              <w:rPr>
                <w:rFonts w:eastAsiaTheme="minorHAnsi"/>
                <w:bCs/>
                <w:szCs w:val="22"/>
                <w:lang w:val="pl"/>
              </w:rPr>
              <w:t>g mc. na dobę</w:t>
            </w:r>
            <w:r>
              <w:rPr>
                <w:rFonts w:eastAsiaTheme="minorHAnsi"/>
                <w:b w:val="0"/>
                <w:szCs w:val="22"/>
                <w:lang w:val="pl"/>
              </w:rPr>
              <w:br/>
            </w:r>
            <w:r>
              <w:rPr>
                <w:rFonts w:eastAsiaTheme="minorHAnsi"/>
                <w:bCs/>
                <w:szCs w:val="22"/>
                <w:lang w:val="pl"/>
              </w:rPr>
              <w:t>(N = 87)</w:t>
            </w:r>
          </w:p>
        </w:tc>
      </w:tr>
      <w:tr w:rsidR="00132F98" w14:paraId="68D56F2A" w14:textId="77777777">
        <w:tc>
          <w:tcPr>
            <w:tcW w:w="5000" w:type="pct"/>
            <w:gridSpan w:val="3"/>
          </w:tcPr>
          <w:p w14:paraId="68D56F29" w14:textId="77777777" w:rsidR="00132F98" w:rsidRDefault="00584E7E">
            <w:pPr>
              <w:pStyle w:val="C-TableText"/>
              <w:spacing w:before="20" w:after="20"/>
              <w:rPr>
                <w:rFonts w:eastAsiaTheme="minorHAnsi"/>
                <w:szCs w:val="22"/>
                <w:lang w:val="pl-PL"/>
              </w:rPr>
            </w:pPr>
            <w:r>
              <w:rPr>
                <w:rFonts w:eastAsiaTheme="minorHAnsi"/>
                <w:b/>
                <w:bCs/>
                <w:szCs w:val="22"/>
                <w:lang w:val="pl"/>
              </w:rPr>
              <w:t>Główny punkt końcowy: Zmiana procentowa w zakresie DSF od OW w trakcie OLP</w:t>
            </w:r>
          </w:p>
        </w:tc>
      </w:tr>
      <w:tr w:rsidR="00132F98" w14:paraId="68D56F2C" w14:textId="77777777">
        <w:tc>
          <w:tcPr>
            <w:tcW w:w="5000" w:type="pct"/>
            <w:gridSpan w:val="3"/>
          </w:tcPr>
          <w:p w14:paraId="68D56F2B" w14:textId="77777777" w:rsidR="00132F98" w:rsidRDefault="00584E7E">
            <w:pPr>
              <w:pStyle w:val="C-TableText"/>
              <w:spacing w:before="20" w:after="20"/>
              <w:rPr>
                <w:rFonts w:eastAsiaTheme="minorHAnsi"/>
                <w:szCs w:val="22"/>
                <w:lang w:val="pl-PL"/>
              </w:rPr>
            </w:pPr>
            <w:r>
              <w:rPr>
                <w:rFonts w:eastAsiaTheme="minorHAnsi"/>
                <w:szCs w:val="22"/>
                <w:lang w:val="pl"/>
              </w:rPr>
              <w:t xml:space="preserve">DSF -podsumowanie danych statystycznych </w:t>
            </w:r>
            <w:r>
              <w:rPr>
                <w:rFonts w:eastAsiaTheme="minorHAnsi"/>
                <w:szCs w:val="22"/>
                <w:vertAlign w:val="superscript"/>
                <w:lang w:val="pl"/>
              </w:rPr>
              <w:t>a</w:t>
            </w:r>
          </w:p>
        </w:tc>
      </w:tr>
      <w:tr w:rsidR="00132F98" w14:paraId="68D56F30" w14:textId="77777777">
        <w:tc>
          <w:tcPr>
            <w:tcW w:w="2099" w:type="pct"/>
          </w:tcPr>
          <w:p w14:paraId="68D56F2D" w14:textId="77777777" w:rsidR="00132F98" w:rsidRDefault="00584E7E">
            <w:pPr>
              <w:pStyle w:val="C-TableText"/>
              <w:spacing w:before="20" w:after="20"/>
              <w:ind w:left="147"/>
              <w:rPr>
                <w:szCs w:val="22"/>
              </w:rPr>
            </w:pPr>
            <w:r>
              <w:rPr>
                <w:szCs w:val="22"/>
                <w:lang w:val="pl"/>
              </w:rPr>
              <w:t>Mediana w OW</w:t>
            </w:r>
          </w:p>
        </w:tc>
        <w:tc>
          <w:tcPr>
            <w:tcW w:w="1490" w:type="pct"/>
          </w:tcPr>
          <w:p w14:paraId="68D56F2E" w14:textId="77777777" w:rsidR="00132F98" w:rsidRDefault="00584E7E">
            <w:pPr>
              <w:pStyle w:val="C-TableText"/>
              <w:spacing w:before="20" w:after="20"/>
              <w:jc w:val="center"/>
              <w:rPr>
                <w:rFonts w:eastAsiaTheme="minorHAnsi"/>
                <w:szCs w:val="22"/>
              </w:rPr>
            </w:pPr>
            <w:r>
              <w:rPr>
                <w:rFonts w:eastAsiaTheme="minorHAnsi"/>
                <w:szCs w:val="22"/>
                <w:lang w:val="pl"/>
              </w:rPr>
              <w:t>53,00</w:t>
            </w:r>
          </w:p>
        </w:tc>
        <w:tc>
          <w:tcPr>
            <w:tcW w:w="1411" w:type="pct"/>
          </w:tcPr>
          <w:p w14:paraId="68D56F2F" w14:textId="77777777" w:rsidR="00132F98" w:rsidRDefault="00584E7E">
            <w:pPr>
              <w:pStyle w:val="C-TableText"/>
              <w:spacing w:before="20" w:after="20"/>
              <w:jc w:val="center"/>
              <w:rPr>
                <w:rFonts w:eastAsiaTheme="minorHAnsi"/>
                <w:szCs w:val="22"/>
              </w:rPr>
            </w:pPr>
            <w:r>
              <w:rPr>
                <w:rFonts w:eastAsiaTheme="minorHAnsi"/>
                <w:szCs w:val="22"/>
                <w:lang w:val="pl"/>
              </w:rPr>
              <w:t>82,00</w:t>
            </w:r>
          </w:p>
        </w:tc>
      </w:tr>
      <w:tr w:rsidR="00132F98" w14:paraId="68D56F34" w14:textId="77777777">
        <w:trPr>
          <w:trHeight w:val="51"/>
        </w:trPr>
        <w:tc>
          <w:tcPr>
            <w:tcW w:w="2099" w:type="pct"/>
          </w:tcPr>
          <w:p w14:paraId="68D56F31" w14:textId="77777777" w:rsidR="00132F98" w:rsidRDefault="00584E7E">
            <w:pPr>
              <w:pStyle w:val="C-TableText"/>
              <w:spacing w:before="20" w:after="20"/>
              <w:ind w:left="147"/>
              <w:rPr>
                <w:szCs w:val="22"/>
              </w:rPr>
            </w:pPr>
            <w:r>
              <w:rPr>
                <w:szCs w:val="22"/>
                <w:lang w:val="pl"/>
              </w:rPr>
              <w:t>Mediana w trakcie P</w:t>
            </w:r>
          </w:p>
        </w:tc>
        <w:tc>
          <w:tcPr>
            <w:tcW w:w="1490" w:type="pct"/>
          </w:tcPr>
          <w:p w14:paraId="68D56F32" w14:textId="77777777" w:rsidR="00132F98" w:rsidRDefault="00584E7E">
            <w:pPr>
              <w:pStyle w:val="C-TableText"/>
              <w:spacing w:before="20" w:after="20"/>
              <w:jc w:val="center"/>
              <w:rPr>
                <w:rFonts w:eastAsiaTheme="minorHAnsi"/>
                <w:szCs w:val="22"/>
              </w:rPr>
            </w:pPr>
            <w:r>
              <w:rPr>
                <w:rFonts w:eastAsiaTheme="minorHAnsi"/>
                <w:szCs w:val="22"/>
                <w:lang w:val="pl"/>
              </w:rPr>
              <w:t>47,33</w:t>
            </w:r>
          </w:p>
        </w:tc>
        <w:tc>
          <w:tcPr>
            <w:tcW w:w="1411" w:type="pct"/>
          </w:tcPr>
          <w:p w14:paraId="68D56F33" w14:textId="77777777" w:rsidR="00132F98" w:rsidRDefault="00584E7E">
            <w:pPr>
              <w:pStyle w:val="C-TableText"/>
              <w:spacing w:before="20" w:after="20"/>
              <w:jc w:val="center"/>
              <w:rPr>
                <w:rFonts w:eastAsiaTheme="minorHAnsi"/>
                <w:szCs w:val="22"/>
              </w:rPr>
            </w:pPr>
            <w:r>
              <w:rPr>
                <w:rFonts w:eastAsiaTheme="minorHAnsi"/>
                <w:szCs w:val="22"/>
                <w:lang w:val="pl"/>
              </w:rPr>
              <w:t>55,73</w:t>
            </w:r>
          </w:p>
        </w:tc>
      </w:tr>
      <w:tr w:rsidR="00132F98" w14:paraId="68D56F38" w14:textId="77777777">
        <w:tc>
          <w:tcPr>
            <w:tcW w:w="2099" w:type="pct"/>
          </w:tcPr>
          <w:p w14:paraId="68D56F35" w14:textId="77777777" w:rsidR="00132F98" w:rsidRDefault="00584E7E">
            <w:pPr>
              <w:pStyle w:val="C-TableText"/>
              <w:spacing w:before="20" w:after="20"/>
              <w:ind w:left="147"/>
              <w:rPr>
                <w:szCs w:val="22"/>
                <w:lang w:val="pl-PL"/>
              </w:rPr>
            </w:pPr>
            <w:r>
              <w:rPr>
                <w:szCs w:val="22"/>
                <w:lang w:val="pl"/>
              </w:rPr>
              <w:t>Mediana zmiany procentowej od OW w trakcie OLP</w:t>
            </w:r>
          </w:p>
        </w:tc>
        <w:tc>
          <w:tcPr>
            <w:tcW w:w="1490" w:type="pct"/>
          </w:tcPr>
          <w:p w14:paraId="68D56F36" w14:textId="77777777" w:rsidR="00132F98" w:rsidRDefault="00584E7E">
            <w:pPr>
              <w:pStyle w:val="C-TableText"/>
              <w:spacing w:before="20" w:after="20"/>
              <w:jc w:val="center"/>
              <w:rPr>
                <w:rFonts w:eastAsiaTheme="minorHAnsi"/>
                <w:szCs w:val="22"/>
              </w:rPr>
            </w:pPr>
            <w:r>
              <w:rPr>
                <w:rFonts w:eastAsiaTheme="minorHAnsi"/>
                <w:szCs w:val="22"/>
                <w:lang w:val="pl"/>
              </w:rPr>
              <w:noBreakHyphen/>
            </w:r>
            <w:r>
              <w:rPr>
                <w:rFonts w:eastAsiaTheme="minorHAnsi"/>
                <w:szCs w:val="22"/>
                <w:lang w:val="pl"/>
              </w:rPr>
              <w:t>7,28</w:t>
            </w:r>
          </w:p>
        </w:tc>
        <w:tc>
          <w:tcPr>
            <w:tcW w:w="1411" w:type="pct"/>
          </w:tcPr>
          <w:p w14:paraId="68D56F37" w14:textId="77777777" w:rsidR="00132F98" w:rsidRDefault="00584E7E">
            <w:pPr>
              <w:pStyle w:val="C-TableText"/>
              <w:spacing w:before="20" w:after="20"/>
              <w:jc w:val="center"/>
              <w:rPr>
                <w:rFonts w:eastAsiaTheme="minorHAnsi"/>
                <w:szCs w:val="22"/>
              </w:rPr>
            </w:pPr>
            <w:r>
              <w:rPr>
                <w:rFonts w:eastAsiaTheme="minorHAnsi"/>
                <w:szCs w:val="22"/>
                <w:lang w:val="pl"/>
              </w:rPr>
              <w:noBreakHyphen/>
              <w:t>27,16</w:t>
            </w:r>
          </w:p>
        </w:tc>
      </w:tr>
      <w:tr w:rsidR="00132F98" w14:paraId="68D56F3A" w14:textId="77777777">
        <w:tc>
          <w:tcPr>
            <w:tcW w:w="5000" w:type="pct"/>
            <w:gridSpan w:val="3"/>
          </w:tcPr>
          <w:p w14:paraId="68D56F39" w14:textId="77777777" w:rsidR="00132F98" w:rsidRDefault="00584E7E">
            <w:pPr>
              <w:pStyle w:val="C-TableText"/>
              <w:spacing w:before="20" w:after="20"/>
              <w:rPr>
                <w:rFonts w:eastAsiaTheme="minorHAnsi"/>
                <w:szCs w:val="22"/>
              </w:rPr>
            </w:pPr>
            <w:r>
              <w:rPr>
                <w:rFonts w:eastAsiaTheme="minorHAnsi"/>
                <w:szCs w:val="22"/>
                <w:lang w:val="pl"/>
              </w:rPr>
              <w:t xml:space="preserve">Model nieparametryczny </w:t>
            </w:r>
            <w:r>
              <w:rPr>
                <w:rFonts w:eastAsiaTheme="minorHAnsi"/>
                <w:szCs w:val="22"/>
                <w:vertAlign w:val="superscript"/>
                <w:lang w:val="pl"/>
              </w:rPr>
              <w:t>b</w:t>
            </w:r>
          </w:p>
        </w:tc>
      </w:tr>
      <w:tr w:rsidR="00132F98" w14:paraId="68D56F3E" w14:textId="77777777">
        <w:tc>
          <w:tcPr>
            <w:tcW w:w="2099" w:type="pct"/>
          </w:tcPr>
          <w:p w14:paraId="68D56F3B" w14:textId="77777777" w:rsidR="00132F98" w:rsidRDefault="00584E7E">
            <w:pPr>
              <w:pStyle w:val="C-TableText"/>
              <w:spacing w:before="20" w:after="20"/>
              <w:ind w:left="147"/>
              <w:rPr>
                <w:szCs w:val="22"/>
                <w:lang w:val="pl-PL"/>
              </w:rPr>
            </w:pPr>
            <w:r>
              <w:rPr>
                <w:szCs w:val="22"/>
                <w:lang w:val="pl"/>
              </w:rPr>
              <w:t xml:space="preserve">wartość p do porównania do placebo </w:t>
            </w:r>
          </w:p>
        </w:tc>
        <w:tc>
          <w:tcPr>
            <w:tcW w:w="1490" w:type="pct"/>
          </w:tcPr>
          <w:p w14:paraId="68D56F3C" w14:textId="77777777" w:rsidR="00132F98" w:rsidRDefault="00584E7E">
            <w:pPr>
              <w:pStyle w:val="C-TableText"/>
              <w:spacing w:before="20" w:after="20"/>
              <w:jc w:val="center"/>
              <w:rPr>
                <w:rFonts w:eastAsiaTheme="minorHAnsi"/>
                <w:szCs w:val="22"/>
              </w:rPr>
            </w:pPr>
            <w:r>
              <w:rPr>
                <w:rFonts w:eastAsiaTheme="minorHAnsi"/>
                <w:szCs w:val="22"/>
                <w:lang w:val="pl"/>
              </w:rPr>
              <w:t>—</w:t>
            </w:r>
          </w:p>
        </w:tc>
        <w:tc>
          <w:tcPr>
            <w:tcW w:w="1411" w:type="pct"/>
          </w:tcPr>
          <w:p w14:paraId="68D56F3D" w14:textId="77777777" w:rsidR="00132F98" w:rsidRDefault="00584E7E">
            <w:pPr>
              <w:pStyle w:val="C-TableText"/>
              <w:spacing w:before="20" w:after="20"/>
              <w:jc w:val="center"/>
              <w:rPr>
                <w:rFonts w:eastAsiaTheme="minorHAnsi"/>
                <w:szCs w:val="22"/>
              </w:rPr>
            </w:pPr>
            <w:r>
              <w:rPr>
                <w:rFonts w:eastAsiaTheme="minorHAnsi"/>
                <w:szCs w:val="22"/>
                <w:lang w:val="pl"/>
              </w:rPr>
              <w:t>0,0018</w:t>
            </w:r>
          </w:p>
        </w:tc>
      </w:tr>
      <w:tr w:rsidR="00132F98" w14:paraId="68D56F40" w14:textId="77777777">
        <w:tc>
          <w:tcPr>
            <w:tcW w:w="5000" w:type="pct"/>
            <w:gridSpan w:val="3"/>
          </w:tcPr>
          <w:p w14:paraId="68D56F3F" w14:textId="77777777" w:rsidR="00132F98" w:rsidRDefault="00584E7E">
            <w:pPr>
              <w:pStyle w:val="C-TableText"/>
              <w:spacing w:before="20" w:after="20"/>
              <w:rPr>
                <w:rFonts w:eastAsiaTheme="minorHAnsi"/>
                <w:szCs w:val="22"/>
                <w:lang w:val="pl-PL"/>
              </w:rPr>
            </w:pPr>
            <w:r>
              <w:rPr>
                <w:rFonts w:eastAsiaTheme="minorHAnsi"/>
                <w:szCs w:val="22"/>
                <w:lang w:val="pl"/>
              </w:rPr>
              <w:t>Szacunkowa wartość HL dla różnicy mediany (A-P)</w:t>
            </w:r>
          </w:p>
        </w:tc>
      </w:tr>
      <w:tr w:rsidR="00132F98" w14:paraId="68D56F44" w14:textId="77777777">
        <w:tc>
          <w:tcPr>
            <w:tcW w:w="2099" w:type="pct"/>
          </w:tcPr>
          <w:p w14:paraId="68D56F41" w14:textId="77777777" w:rsidR="00132F98" w:rsidRDefault="00584E7E">
            <w:pPr>
              <w:pStyle w:val="C-TableText"/>
              <w:spacing w:before="20" w:after="20"/>
              <w:ind w:left="147"/>
              <w:rPr>
                <w:szCs w:val="22"/>
              </w:rPr>
            </w:pPr>
            <w:r>
              <w:rPr>
                <w:szCs w:val="22"/>
                <w:lang w:val="pl"/>
              </w:rPr>
              <w:t>Wartość szacunkowa (błąd standardowy)</w:t>
            </w:r>
          </w:p>
        </w:tc>
        <w:tc>
          <w:tcPr>
            <w:tcW w:w="1490" w:type="pct"/>
          </w:tcPr>
          <w:p w14:paraId="68D56F42" w14:textId="77777777" w:rsidR="00132F98" w:rsidRDefault="00584E7E">
            <w:pPr>
              <w:pStyle w:val="C-TableText"/>
              <w:spacing w:before="20" w:after="20"/>
              <w:jc w:val="center"/>
              <w:rPr>
                <w:rFonts w:eastAsiaTheme="minorHAnsi"/>
                <w:szCs w:val="22"/>
              </w:rPr>
            </w:pPr>
            <w:r>
              <w:rPr>
                <w:szCs w:val="22"/>
                <w:lang w:val="pl"/>
              </w:rPr>
              <w:t>—</w:t>
            </w:r>
          </w:p>
        </w:tc>
        <w:tc>
          <w:tcPr>
            <w:tcW w:w="1411" w:type="pct"/>
          </w:tcPr>
          <w:p w14:paraId="68D56F43" w14:textId="77777777" w:rsidR="00132F98" w:rsidRDefault="00584E7E">
            <w:pPr>
              <w:pStyle w:val="C-TableText"/>
              <w:spacing w:before="20" w:after="20"/>
              <w:jc w:val="center"/>
              <w:rPr>
                <w:rFonts w:eastAsiaTheme="minorHAnsi"/>
                <w:szCs w:val="22"/>
              </w:rPr>
            </w:pPr>
            <w:r>
              <w:rPr>
                <w:szCs w:val="22"/>
                <w:lang w:val="pl"/>
              </w:rPr>
              <w:noBreakHyphen/>
              <w:t>20 (5,795)</w:t>
            </w:r>
          </w:p>
        </w:tc>
      </w:tr>
      <w:tr w:rsidR="00132F98" w14:paraId="68D56F48" w14:textId="77777777">
        <w:tc>
          <w:tcPr>
            <w:tcW w:w="2099" w:type="pct"/>
          </w:tcPr>
          <w:p w14:paraId="68D56F45" w14:textId="77777777" w:rsidR="00132F98" w:rsidRDefault="00584E7E">
            <w:pPr>
              <w:pStyle w:val="C-TableText"/>
              <w:spacing w:before="20" w:after="20"/>
              <w:ind w:left="147"/>
              <w:rPr>
                <w:szCs w:val="22"/>
              </w:rPr>
            </w:pPr>
            <w:r>
              <w:rPr>
                <w:szCs w:val="22"/>
                <w:lang w:val="pl"/>
              </w:rPr>
              <w:t xml:space="preserve">95% CI  </w:t>
            </w:r>
          </w:p>
        </w:tc>
        <w:tc>
          <w:tcPr>
            <w:tcW w:w="1490" w:type="pct"/>
          </w:tcPr>
          <w:p w14:paraId="68D56F46" w14:textId="77777777" w:rsidR="00132F98" w:rsidRDefault="00584E7E">
            <w:pPr>
              <w:pStyle w:val="C-TableText"/>
              <w:spacing w:before="20" w:after="20"/>
              <w:jc w:val="center"/>
              <w:rPr>
                <w:rFonts w:eastAsiaTheme="minorHAnsi"/>
                <w:szCs w:val="22"/>
              </w:rPr>
            </w:pPr>
            <w:r>
              <w:rPr>
                <w:szCs w:val="22"/>
                <w:lang w:val="pl"/>
              </w:rPr>
              <w:t>—</w:t>
            </w:r>
          </w:p>
        </w:tc>
        <w:tc>
          <w:tcPr>
            <w:tcW w:w="1411" w:type="pct"/>
          </w:tcPr>
          <w:p w14:paraId="68D56F47" w14:textId="77777777" w:rsidR="00132F98" w:rsidRDefault="00584E7E">
            <w:pPr>
              <w:pStyle w:val="C-TableText"/>
              <w:spacing w:before="20" w:after="20"/>
              <w:jc w:val="center"/>
              <w:rPr>
                <w:rFonts w:eastAsiaTheme="minorHAnsi"/>
                <w:szCs w:val="22"/>
              </w:rPr>
            </w:pPr>
            <w:r>
              <w:rPr>
                <w:rFonts w:eastAsiaTheme="minorHAnsi"/>
                <w:szCs w:val="22"/>
                <w:lang w:val="pl"/>
              </w:rPr>
              <w:t>-31,61, -8,89</w:t>
            </w:r>
          </w:p>
        </w:tc>
      </w:tr>
      <w:tr w:rsidR="00132F98" w14:paraId="68D56F4A" w14:textId="77777777">
        <w:tblPrEx>
          <w:tblBorders>
            <w:left w:val="none" w:sz="0" w:space="0" w:color="auto"/>
            <w:right w:val="none" w:sz="0" w:space="0" w:color="auto"/>
            <w:insideH w:val="none" w:sz="0" w:space="0" w:color="auto"/>
            <w:insideV w:val="none" w:sz="0" w:space="0" w:color="auto"/>
          </w:tblBorders>
        </w:tblPrEx>
        <w:trPr>
          <w:cantSplit w:val="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D56F49" w14:textId="77777777" w:rsidR="00132F98" w:rsidRDefault="00584E7E">
            <w:pPr>
              <w:pStyle w:val="C-TableText"/>
              <w:keepNext/>
              <w:spacing w:before="20" w:after="20"/>
              <w:rPr>
                <w:rFonts w:eastAsiaTheme="minorHAnsi"/>
                <w:b/>
                <w:szCs w:val="22"/>
                <w:lang w:val="pl-PL"/>
              </w:rPr>
            </w:pPr>
            <w:r>
              <w:rPr>
                <w:rFonts w:eastAsiaTheme="minorHAnsi"/>
                <w:b/>
                <w:bCs/>
                <w:szCs w:val="22"/>
                <w:lang w:val="pl"/>
              </w:rPr>
              <w:t xml:space="preserve">Drugorzędowy punkt końcowy: Odsetek pacjentów z ≥ 50% zmniejszeniem w zakresie DSF w stosunku do PW (50% wskaźnik odpowiedzi) w trakcie OLP </w:t>
            </w:r>
          </w:p>
        </w:tc>
      </w:tr>
      <w:tr w:rsidR="00132F98" w14:paraId="68D56F4E" w14:textId="77777777">
        <w:tblPrEx>
          <w:tblBorders>
            <w:left w:val="none" w:sz="0" w:space="0" w:color="auto"/>
            <w:right w:val="none" w:sz="0" w:space="0" w:color="auto"/>
            <w:insideH w:val="none" w:sz="0" w:space="0" w:color="auto"/>
            <w:insideV w:val="none" w:sz="0" w:space="0" w:color="auto"/>
          </w:tblBorders>
        </w:tblPrEx>
        <w:trPr>
          <w:cantSplit w:val="0"/>
        </w:trPr>
        <w:tc>
          <w:tcPr>
            <w:tcW w:w="2099" w:type="pct"/>
            <w:tcBorders>
              <w:top w:val="single" w:sz="4" w:space="0" w:color="auto"/>
              <w:left w:val="single" w:sz="4" w:space="0" w:color="auto"/>
              <w:bottom w:val="single" w:sz="4" w:space="0" w:color="auto"/>
              <w:right w:val="single" w:sz="4" w:space="0" w:color="auto"/>
            </w:tcBorders>
          </w:tcPr>
          <w:p w14:paraId="68D56F4B" w14:textId="77777777" w:rsidR="00132F98" w:rsidRDefault="00584E7E">
            <w:pPr>
              <w:pStyle w:val="C-TableText"/>
              <w:spacing w:before="20" w:after="20"/>
              <w:ind w:left="147"/>
              <w:rPr>
                <w:rFonts w:eastAsiaTheme="minorHAnsi"/>
                <w:szCs w:val="22"/>
              </w:rPr>
            </w:pPr>
            <w:r>
              <w:rPr>
                <w:szCs w:val="22"/>
                <w:lang w:val="pl"/>
              </w:rPr>
              <w:t>≥ 50% zmniejszenie DSF, n (%)</w:t>
            </w:r>
          </w:p>
        </w:tc>
        <w:tc>
          <w:tcPr>
            <w:tcW w:w="1490" w:type="pct"/>
            <w:tcBorders>
              <w:top w:val="single" w:sz="4" w:space="0" w:color="auto"/>
              <w:left w:val="single" w:sz="4" w:space="0" w:color="auto"/>
              <w:bottom w:val="single" w:sz="4" w:space="0" w:color="auto"/>
              <w:right w:val="single" w:sz="4" w:space="0" w:color="auto"/>
            </w:tcBorders>
          </w:tcPr>
          <w:p w14:paraId="68D56F4C" w14:textId="77777777" w:rsidR="00132F98" w:rsidRDefault="00584E7E">
            <w:pPr>
              <w:pStyle w:val="C-TableText"/>
              <w:spacing w:before="20" w:after="20"/>
              <w:jc w:val="center"/>
              <w:rPr>
                <w:color w:val="000000"/>
                <w:szCs w:val="22"/>
              </w:rPr>
            </w:pPr>
            <w:r>
              <w:rPr>
                <w:rFonts w:eastAsiaTheme="minorHAnsi"/>
                <w:szCs w:val="22"/>
                <w:lang w:val="pl"/>
              </w:rPr>
              <w:t>11 (12,6)</w:t>
            </w:r>
          </w:p>
        </w:tc>
        <w:tc>
          <w:tcPr>
            <w:tcW w:w="1411" w:type="pct"/>
            <w:tcBorders>
              <w:top w:val="single" w:sz="4" w:space="0" w:color="auto"/>
              <w:left w:val="single" w:sz="4" w:space="0" w:color="auto"/>
              <w:bottom w:val="single" w:sz="4" w:space="0" w:color="auto"/>
              <w:right w:val="single" w:sz="4" w:space="0" w:color="auto"/>
            </w:tcBorders>
          </w:tcPr>
          <w:p w14:paraId="68D56F4D" w14:textId="77777777" w:rsidR="00132F98" w:rsidRDefault="00584E7E">
            <w:pPr>
              <w:pStyle w:val="C-TableText"/>
              <w:spacing w:before="20" w:after="20"/>
              <w:jc w:val="center"/>
              <w:rPr>
                <w:color w:val="000000"/>
                <w:szCs w:val="22"/>
              </w:rPr>
            </w:pPr>
            <w:r>
              <w:rPr>
                <w:rFonts w:eastAsiaTheme="minorHAnsi"/>
                <w:szCs w:val="22"/>
                <w:lang w:val="pl"/>
              </w:rPr>
              <w:t>27 (31,4)</w:t>
            </w:r>
          </w:p>
        </w:tc>
      </w:tr>
      <w:tr w:rsidR="00132F98" w14:paraId="68D56F52" w14:textId="77777777">
        <w:tblPrEx>
          <w:tblBorders>
            <w:left w:val="none" w:sz="0" w:space="0" w:color="auto"/>
            <w:right w:val="none" w:sz="0" w:space="0" w:color="auto"/>
            <w:insideH w:val="none" w:sz="0" w:space="0" w:color="auto"/>
            <w:insideV w:val="none" w:sz="0" w:space="0" w:color="auto"/>
          </w:tblBorders>
        </w:tblPrEx>
        <w:trPr>
          <w:cantSplit w:val="0"/>
        </w:trPr>
        <w:tc>
          <w:tcPr>
            <w:tcW w:w="2099" w:type="pct"/>
            <w:tcBorders>
              <w:top w:val="single" w:sz="4" w:space="0" w:color="auto"/>
              <w:left w:val="single" w:sz="4" w:space="0" w:color="auto"/>
              <w:bottom w:val="single" w:sz="4" w:space="0" w:color="auto"/>
              <w:right w:val="single" w:sz="4" w:space="0" w:color="auto"/>
            </w:tcBorders>
          </w:tcPr>
          <w:p w14:paraId="68D56F4F" w14:textId="77777777" w:rsidR="00132F98" w:rsidRDefault="00584E7E">
            <w:pPr>
              <w:pStyle w:val="C-TableText"/>
              <w:spacing w:before="20" w:after="20"/>
              <w:ind w:left="147"/>
              <w:rPr>
                <w:rFonts w:eastAsiaTheme="minorHAnsi"/>
                <w:szCs w:val="22"/>
                <w:lang w:val="pl-PL"/>
              </w:rPr>
            </w:pPr>
            <w:r>
              <w:rPr>
                <w:szCs w:val="22"/>
                <w:lang w:val="pl"/>
              </w:rPr>
              <w:t xml:space="preserve">wartość p versus placebo </w:t>
            </w:r>
            <w:r>
              <w:rPr>
                <w:szCs w:val="22"/>
                <w:vertAlign w:val="superscript"/>
                <w:lang w:val="pl"/>
              </w:rPr>
              <w:t>c</w:t>
            </w:r>
            <w:r>
              <w:rPr>
                <w:szCs w:val="22"/>
                <w:lang w:val="pl"/>
              </w:rPr>
              <w:t xml:space="preserve"> </w:t>
            </w:r>
          </w:p>
        </w:tc>
        <w:tc>
          <w:tcPr>
            <w:tcW w:w="1490" w:type="pct"/>
            <w:tcBorders>
              <w:top w:val="single" w:sz="4" w:space="0" w:color="auto"/>
              <w:left w:val="single" w:sz="4" w:space="0" w:color="auto"/>
              <w:bottom w:val="single" w:sz="4" w:space="0" w:color="auto"/>
              <w:right w:val="single" w:sz="4" w:space="0" w:color="auto"/>
            </w:tcBorders>
          </w:tcPr>
          <w:p w14:paraId="68D56F50" w14:textId="77777777" w:rsidR="00132F98" w:rsidRDefault="00132F98">
            <w:pPr>
              <w:pStyle w:val="C-TableText"/>
              <w:spacing w:before="20" w:after="20"/>
              <w:jc w:val="center"/>
              <w:rPr>
                <w:color w:val="000000"/>
                <w:szCs w:val="22"/>
                <w:lang w:val="pl-PL"/>
              </w:rPr>
            </w:pPr>
          </w:p>
        </w:tc>
        <w:tc>
          <w:tcPr>
            <w:tcW w:w="1411" w:type="pct"/>
            <w:tcBorders>
              <w:top w:val="single" w:sz="4" w:space="0" w:color="auto"/>
              <w:left w:val="single" w:sz="4" w:space="0" w:color="auto"/>
              <w:bottom w:val="single" w:sz="4" w:space="0" w:color="auto"/>
              <w:right w:val="single" w:sz="4" w:space="0" w:color="auto"/>
            </w:tcBorders>
          </w:tcPr>
          <w:p w14:paraId="68D56F51" w14:textId="77777777" w:rsidR="00132F98" w:rsidRDefault="00584E7E">
            <w:pPr>
              <w:pStyle w:val="C-TableText"/>
              <w:spacing w:before="20" w:after="20"/>
              <w:jc w:val="center"/>
              <w:rPr>
                <w:color w:val="000000"/>
                <w:szCs w:val="22"/>
              </w:rPr>
            </w:pPr>
            <w:r>
              <w:rPr>
                <w:rFonts w:eastAsiaTheme="minorHAnsi"/>
                <w:szCs w:val="22"/>
                <w:lang w:val="pl"/>
              </w:rPr>
              <w:t>0,0044</w:t>
            </w:r>
          </w:p>
        </w:tc>
      </w:tr>
      <w:tr w:rsidR="00132F98" w14:paraId="68D56F54" w14:textId="77777777">
        <w:tblPrEx>
          <w:tblBorders>
            <w:left w:val="none" w:sz="0" w:space="0" w:color="auto"/>
            <w:right w:val="none" w:sz="0" w:space="0" w:color="auto"/>
            <w:insideH w:val="none" w:sz="0" w:space="0" w:color="auto"/>
            <w:insideV w:val="none" w:sz="0" w:space="0" w:color="auto"/>
          </w:tblBorders>
        </w:tblPrEx>
        <w:trPr>
          <w:cantSplit w:val="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D56F53" w14:textId="77777777" w:rsidR="00132F98" w:rsidRDefault="00584E7E">
            <w:pPr>
              <w:pStyle w:val="C-TableText"/>
              <w:keepNext/>
              <w:spacing w:before="20" w:after="20"/>
              <w:rPr>
                <w:rFonts w:eastAsiaTheme="minorHAnsi"/>
                <w:b/>
                <w:szCs w:val="22"/>
                <w:lang w:val="pl-PL"/>
              </w:rPr>
            </w:pPr>
            <w:r>
              <w:rPr>
                <w:rFonts w:eastAsiaTheme="minorHAnsi"/>
                <w:b/>
                <w:bCs/>
                <w:szCs w:val="22"/>
                <w:lang w:val="pl"/>
              </w:rPr>
              <w:t xml:space="preserve">Drugorzędowy punkt końcowy: Odsetek pacjentów z poprawą </w:t>
            </w:r>
            <w:r>
              <w:rPr>
                <w:rFonts w:eastAsiaTheme="minorHAnsi"/>
                <w:b/>
                <w:bCs/>
                <w:szCs w:val="22"/>
                <w:vertAlign w:val="superscript"/>
                <w:lang w:val="pl"/>
              </w:rPr>
              <w:t xml:space="preserve">d </w:t>
            </w:r>
            <w:r>
              <w:rPr>
                <w:rFonts w:eastAsiaTheme="minorHAnsi"/>
                <w:b/>
                <w:bCs/>
                <w:szCs w:val="22"/>
                <w:lang w:val="pl"/>
              </w:rPr>
              <w:t>w ocenie CGI-I przeprowadzanej przez badacza na koniec OLP</w:t>
            </w:r>
          </w:p>
        </w:tc>
      </w:tr>
      <w:tr w:rsidR="00132F98" w14:paraId="68D56F58" w14:textId="77777777">
        <w:tblPrEx>
          <w:tblBorders>
            <w:left w:val="none" w:sz="0" w:space="0" w:color="auto"/>
            <w:right w:val="none" w:sz="0" w:space="0" w:color="auto"/>
            <w:insideH w:val="none" w:sz="0" w:space="0" w:color="auto"/>
            <w:insideV w:val="none" w:sz="0" w:space="0" w:color="auto"/>
          </w:tblBorders>
        </w:tblPrEx>
        <w:tc>
          <w:tcPr>
            <w:tcW w:w="2099" w:type="pct"/>
            <w:tcBorders>
              <w:top w:val="single" w:sz="4" w:space="0" w:color="auto"/>
              <w:left w:val="single" w:sz="4" w:space="0" w:color="auto"/>
              <w:bottom w:val="single" w:sz="4" w:space="0" w:color="auto"/>
              <w:right w:val="single" w:sz="4" w:space="0" w:color="auto"/>
            </w:tcBorders>
          </w:tcPr>
          <w:p w14:paraId="68D56F55" w14:textId="77777777" w:rsidR="00132F98" w:rsidRDefault="00584E7E">
            <w:pPr>
              <w:pStyle w:val="C-TableText"/>
              <w:spacing w:before="20" w:after="20"/>
              <w:ind w:left="167"/>
              <w:rPr>
                <w:rFonts w:eastAsiaTheme="minorHAnsi"/>
                <w:szCs w:val="22"/>
                <w:lang w:val="pl-PL"/>
              </w:rPr>
            </w:pPr>
            <w:r>
              <w:rPr>
                <w:rFonts w:eastAsiaTheme="minorHAnsi"/>
                <w:szCs w:val="22"/>
                <w:lang w:val="pl"/>
              </w:rPr>
              <w:t>Uczestnicy z wynikiem 1, 2 lub 3, n (%)</w:t>
            </w:r>
          </w:p>
        </w:tc>
        <w:tc>
          <w:tcPr>
            <w:tcW w:w="1490" w:type="pct"/>
            <w:tcBorders>
              <w:top w:val="single" w:sz="4" w:space="0" w:color="auto"/>
              <w:left w:val="single" w:sz="4" w:space="0" w:color="auto"/>
              <w:bottom w:val="single" w:sz="4" w:space="0" w:color="auto"/>
              <w:right w:val="single" w:sz="4" w:space="0" w:color="auto"/>
            </w:tcBorders>
          </w:tcPr>
          <w:p w14:paraId="68D56F56" w14:textId="77777777" w:rsidR="00132F98" w:rsidRDefault="00584E7E">
            <w:pPr>
              <w:pStyle w:val="C-TableText"/>
              <w:spacing w:before="20" w:after="20"/>
              <w:jc w:val="center"/>
              <w:rPr>
                <w:rFonts w:eastAsiaTheme="minorHAnsi"/>
                <w:szCs w:val="22"/>
              </w:rPr>
            </w:pPr>
            <w:r>
              <w:rPr>
                <w:rFonts w:eastAsiaTheme="minorHAnsi"/>
                <w:szCs w:val="22"/>
                <w:lang w:val="pl"/>
              </w:rPr>
              <w:t>27 (33,8)</w:t>
            </w:r>
          </w:p>
        </w:tc>
        <w:tc>
          <w:tcPr>
            <w:tcW w:w="1411" w:type="pct"/>
            <w:tcBorders>
              <w:top w:val="single" w:sz="4" w:space="0" w:color="auto"/>
              <w:left w:val="single" w:sz="4" w:space="0" w:color="auto"/>
              <w:bottom w:val="single" w:sz="4" w:space="0" w:color="auto"/>
              <w:right w:val="single" w:sz="4" w:space="0" w:color="auto"/>
            </w:tcBorders>
          </w:tcPr>
          <w:p w14:paraId="68D56F57" w14:textId="77777777" w:rsidR="00132F98" w:rsidRDefault="00584E7E">
            <w:pPr>
              <w:pStyle w:val="C-TableText"/>
              <w:spacing w:before="20" w:after="20"/>
              <w:jc w:val="center"/>
              <w:rPr>
                <w:rFonts w:eastAsiaTheme="minorHAnsi"/>
                <w:szCs w:val="22"/>
              </w:rPr>
            </w:pPr>
            <w:r>
              <w:rPr>
                <w:rFonts w:eastAsiaTheme="minorHAnsi"/>
                <w:szCs w:val="22"/>
                <w:lang w:val="pl"/>
              </w:rPr>
              <w:t>39 (48,8)</w:t>
            </w:r>
          </w:p>
        </w:tc>
      </w:tr>
      <w:tr w:rsidR="00132F98" w14:paraId="68D56F5C" w14:textId="77777777">
        <w:tblPrEx>
          <w:tblBorders>
            <w:left w:val="none" w:sz="0" w:space="0" w:color="auto"/>
            <w:right w:val="none" w:sz="0" w:space="0" w:color="auto"/>
            <w:insideH w:val="none" w:sz="0" w:space="0" w:color="auto"/>
            <w:insideV w:val="none" w:sz="0" w:space="0" w:color="auto"/>
          </w:tblBorders>
        </w:tblPrEx>
        <w:tc>
          <w:tcPr>
            <w:tcW w:w="2099" w:type="pct"/>
            <w:tcBorders>
              <w:top w:val="single" w:sz="4" w:space="0" w:color="auto"/>
              <w:left w:val="single" w:sz="4" w:space="0" w:color="auto"/>
              <w:bottom w:val="single" w:sz="4" w:space="0" w:color="auto"/>
              <w:right w:val="single" w:sz="4" w:space="0" w:color="auto"/>
            </w:tcBorders>
          </w:tcPr>
          <w:p w14:paraId="68D56F59" w14:textId="77777777" w:rsidR="00132F98" w:rsidRDefault="00584E7E">
            <w:pPr>
              <w:pStyle w:val="C-TableText"/>
              <w:spacing w:before="20" w:after="20"/>
              <w:ind w:left="159"/>
              <w:rPr>
                <w:rFonts w:eastAsiaTheme="minorHAnsi"/>
                <w:szCs w:val="22"/>
                <w:lang w:val="pl-PL"/>
              </w:rPr>
            </w:pPr>
            <w:r>
              <w:rPr>
                <w:rFonts w:eastAsiaTheme="minorHAnsi"/>
                <w:szCs w:val="22"/>
                <w:lang w:val="pl"/>
              </w:rPr>
              <w:t xml:space="preserve">wartość p w porównaniu do placebo </w:t>
            </w:r>
            <w:r>
              <w:rPr>
                <w:rFonts w:eastAsiaTheme="minorHAnsi"/>
                <w:szCs w:val="22"/>
                <w:vertAlign w:val="superscript"/>
                <w:lang w:val="pl"/>
              </w:rPr>
              <w:t>e</w:t>
            </w:r>
          </w:p>
        </w:tc>
        <w:tc>
          <w:tcPr>
            <w:tcW w:w="1490" w:type="pct"/>
            <w:tcBorders>
              <w:top w:val="single" w:sz="4" w:space="0" w:color="auto"/>
              <w:left w:val="single" w:sz="4" w:space="0" w:color="auto"/>
              <w:bottom w:val="single" w:sz="4" w:space="0" w:color="auto"/>
              <w:right w:val="single" w:sz="4" w:space="0" w:color="auto"/>
            </w:tcBorders>
          </w:tcPr>
          <w:p w14:paraId="68D56F5A" w14:textId="77777777" w:rsidR="00132F98" w:rsidRDefault="00132F98">
            <w:pPr>
              <w:pStyle w:val="C-TableText"/>
              <w:spacing w:before="20" w:after="20"/>
              <w:jc w:val="center"/>
              <w:rPr>
                <w:rFonts w:eastAsiaTheme="minorHAnsi"/>
                <w:szCs w:val="22"/>
                <w:lang w:val="pl-PL"/>
              </w:rPr>
            </w:pPr>
          </w:p>
        </w:tc>
        <w:tc>
          <w:tcPr>
            <w:tcW w:w="1411" w:type="pct"/>
            <w:tcBorders>
              <w:top w:val="single" w:sz="4" w:space="0" w:color="auto"/>
              <w:left w:val="single" w:sz="4" w:space="0" w:color="auto"/>
              <w:bottom w:val="single" w:sz="4" w:space="0" w:color="auto"/>
              <w:right w:val="single" w:sz="4" w:space="0" w:color="auto"/>
            </w:tcBorders>
          </w:tcPr>
          <w:p w14:paraId="68D56F5B" w14:textId="77777777" w:rsidR="00132F98" w:rsidRDefault="00584E7E">
            <w:pPr>
              <w:pStyle w:val="C-TableText"/>
              <w:spacing w:before="20" w:after="20"/>
              <w:jc w:val="center"/>
              <w:rPr>
                <w:rFonts w:eastAsiaTheme="minorHAnsi"/>
                <w:szCs w:val="22"/>
              </w:rPr>
            </w:pPr>
            <w:r>
              <w:rPr>
                <w:rFonts w:eastAsiaTheme="minorHAnsi"/>
                <w:szCs w:val="22"/>
                <w:lang w:val="pl"/>
              </w:rPr>
              <w:t>0,0567</w:t>
            </w:r>
          </w:p>
        </w:tc>
      </w:tr>
    </w:tbl>
    <w:p w14:paraId="68D56F5D" w14:textId="77777777" w:rsidR="00132F98" w:rsidRDefault="00132F98">
      <w:pPr>
        <w:pStyle w:val="ListFooter"/>
        <w:keepLines w:val="0"/>
        <w:tabs>
          <w:tab w:val="left" w:pos="0"/>
        </w:tabs>
        <w:spacing w:before="40" w:after="40"/>
        <w:rPr>
          <w:rFonts w:eastAsiaTheme="minorHAnsi" w:cs="Times New Roman"/>
          <w:b/>
          <w:sz w:val="22"/>
          <w:lang w:val="pl-PL"/>
        </w:rPr>
      </w:pPr>
    </w:p>
    <w:p w14:paraId="68D56F5E" w14:textId="77777777" w:rsidR="00132F98" w:rsidRDefault="00584E7E">
      <w:pPr>
        <w:pStyle w:val="ListFooter"/>
        <w:keepLines w:val="0"/>
        <w:tabs>
          <w:tab w:val="left" w:pos="0"/>
        </w:tabs>
        <w:spacing w:before="40" w:after="40"/>
        <w:rPr>
          <w:rFonts w:cs="Times New Roman"/>
          <w:sz w:val="16"/>
          <w:szCs w:val="16"/>
          <w:lang w:val="pl-PL"/>
        </w:rPr>
      </w:pPr>
      <w:r>
        <w:rPr>
          <w:rFonts w:cs="Times New Roman"/>
          <w:sz w:val="16"/>
          <w:szCs w:val="16"/>
          <w:lang w:val="pl"/>
        </w:rPr>
        <w:t>ANCOVA = analiza wariancji; A-P = grupa otrzymująca aktywne leczenie – grupa otrzymująca placebo; OW = okres początkowy; CGI I = Ocena globalnego wrażenia klinicznego – Poprawa; CI = przedział ufności; DSF = częstość napadów drgawkowych z upadkiem w okresi</w:t>
      </w:r>
      <w:r>
        <w:rPr>
          <w:rFonts w:cs="Times New Roman"/>
          <w:sz w:val="16"/>
          <w:szCs w:val="16"/>
          <w:lang w:val="pl"/>
        </w:rPr>
        <w:t>e 28 dni; HL = estymator Hodgesa-Lehmanna; Std Err = błąd standardowy; Z + P = okres dobierania dawki i okres leczenia podtrzymującego</w:t>
      </w:r>
    </w:p>
    <w:p w14:paraId="68D56F5F" w14:textId="77777777" w:rsidR="00132F98" w:rsidRDefault="00584E7E">
      <w:pPr>
        <w:pStyle w:val="ListFooterAlpha"/>
        <w:keepLines w:val="0"/>
        <w:numPr>
          <w:ilvl w:val="0"/>
          <w:numId w:val="46"/>
        </w:numPr>
        <w:spacing w:before="40" w:after="40"/>
        <w:ind w:left="339" w:hanging="270"/>
        <w:rPr>
          <w:rFonts w:cs="Times New Roman"/>
          <w:sz w:val="16"/>
          <w:szCs w:val="16"/>
          <w:lang w:val="pl-PL"/>
        </w:rPr>
      </w:pPr>
      <w:r>
        <w:rPr>
          <w:rFonts w:cs="Times New Roman"/>
          <w:sz w:val="16"/>
          <w:szCs w:val="16"/>
          <w:lang w:val="pl"/>
        </w:rPr>
        <w:t xml:space="preserve">OW, Z + P oraz procentowa zmiana w stosunku do OW w wartościach uzyskiwanych podczas okresu leczenia </w:t>
      </w:r>
      <w:r>
        <w:rPr>
          <w:rFonts w:cs="Times New Roman"/>
          <w:sz w:val="16"/>
          <w:szCs w:val="16"/>
          <w:lang w:val="pl"/>
        </w:rPr>
        <w:t>podtrzymującego dla częstości występowania napadów drgawkowych w okresie 28 dni przedstawiono w oryginalnej skali.</w:t>
      </w:r>
    </w:p>
    <w:p w14:paraId="68D56F60" w14:textId="77777777" w:rsidR="00132F98" w:rsidRDefault="00584E7E">
      <w:pPr>
        <w:pStyle w:val="ListParagraph"/>
        <w:numPr>
          <w:ilvl w:val="0"/>
          <w:numId w:val="46"/>
        </w:numPr>
        <w:tabs>
          <w:tab w:val="left" w:pos="338"/>
        </w:tabs>
        <w:spacing w:before="40" w:after="40"/>
        <w:ind w:left="339" w:hanging="270"/>
        <w:rPr>
          <w:rFonts w:cs="Times New Roman"/>
          <w:sz w:val="16"/>
          <w:szCs w:val="16"/>
        </w:rPr>
      </w:pPr>
      <w:r>
        <w:rPr>
          <w:rFonts w:cs="Times New Roman"/>
          <w:sz w:val="16"/>
          <w:szCs w:val="16"/>
          <w:lang w:val="pl"/>
        </w:rPr>
        <w:t>Wyniki opierają się na nieparametrycznym modelu ANCOVA model ze stratyfikacją według grupy leczenia (3 poziomy) i masy ciała (&lt; 37,5 kg, ≥ 37</w:t>
      </w:r>
      <w:r>
        <w:rPr>
          <w:rFonts w:cs="Times New Roman"/>
          <w:sz w:val="16"/>
          <w:szCs w:val="16"/>
          <w:lang w:val="pl"/>
        </w:rPr>
        <w:t>,5 kg) stanowiącą czynniki, rangą częstości napadów drgawkowych w okresie początkowym jako współzmienną oraz rangą procentowej zmiany częstości napadów w stosunku do okresu początkowego w okresie leczenia (P) jako odpowiedzią.</w:t>
      </w:r>
    </w:p>
    <w:p w14:paraId="68D56F61" w14:textId="77777777" w:rsidR="00132F98" w:rsidRDefault="00584E7E">
      <w:pPr>
        <w:pStyle w:val="ListParagraph"/>
        <w:numPr>
          <w:ilvl w:val="0"/>
          <w:numId w:val="46"/>
        </w:numPr>
        <w:tabs>
          <w:tab w:val="left" w:pos="338"/>
        </w:tabs>
        <w:spacing w:before="40" w:after="40"/>
        <w:ind w:left="339" w:hanging="270"/>
        <w:rPr>
          <w:rFonts w:cs="Times New Roman"/>
          <w:sz w:val="16"/>
          <w:szCs w:val="16"/>
        </w:rPr>
      </w:pPr>
      <w:r>
        <w:rPr>
          <w:rFonts w:cs="Times New Roman"/>
          <w:sz w:val="16"/>
          <w:szCs w:val="16"/>
          <w:lang w:val="pl"/>
        </w:rPr>
        <w:t xml:space="preserve">Na podstawie modelu regresji </w:t>
      </w:r>
      <w:r>
        <w:rPr>
          <w:rFonts w:cs="Times New Roman"/>
          <w:sz w:val="16"/>
          <w:szCs w:val="16"/>
          <w:lang w:val="pl"/>
        </w:rPr>
        <w:t>logistycznej obejmującym zmienną kategoryczną odpowiedzi (osiągnięto zmniejszenie w punktach procentowych, tak lub nie), stratyfikację według masy ciała (&lt; 37,5 kg, ≥ 37,5 kg) oraz DSF w punkcie początkowym jako współzmienną.</w:t>
      </w:r>
    </w:p>
    <w:p w14:paraId="68D56F62" w14:textId="77777777" w:rsidR="00132F98" w:rsidRDefault="00584E7E">
      <w:pPr>
        <w:pStyle w:val="ListParagraph"/>
        <w:numPr>
          <w:ilvl w:val="0"/>
          <w:numId w:val="46"/>
        </w:numPr>
        <w:tabs>
          <w:tab w:val="left" w:pos="338"/>
        </w:tabs>
        <w:spacing w:before="40" w:after="40"/>
        <w:ind w:left="339" w:hanging="270"/>
        <w:rPr>
          <w:rFonts w:cs="Times New Roman"/>
          <w:sz w:val="16"/>
          <w:szCs w:val="16"/>
        </w:rPr>
      </w:pPr>
      <w:r>
        <w:rPr>
          <w:rFonts w:cs="Times New Roman"/>
          <w:sz w:val="16"/>
          <w:szCs w:val="16"/>
          <w:lang w:val="pl"/>
        </w:rPr>
        <w:t>Minimalna, duża lub bardzo duż</w:t>
      </w:r>
      <w:r>
        <w:rPr>
          <w:rFonts w:cs="Times New Roman"/>
          <w:sz w:val="16"/>
          <w:szCs w:val="16"/>
          <w:lang w:val="pl"/>
        </w:rPr>
        <w:t>a poprawa</w:t>
      </w:r>
    </w:p>
    <w:p w14:paraId="68D56F63" w14:textId="77777777" w:rsidR="00132F98" w:rsidRDefault="00584E7E">
      <w:pPr>
        <w:pStyle w:val="ListParagraph"/>
        <w:numPr>
          <w:ilvl w:val="0"/>
          <w:numId w:val="46"/>
        </w:numPr>
        <w:tabs>
          <w:tab w:val="left" w:pos="338"/>
        </w:tabs>
        <w:spacing w:before="40" w:after="40"/>
        <w:ind w:left="339" w:hanging="270"/>
        <w:rPr>
          <w:rFonts w:cs="Times New Roman"/>
          <w:sz w:val="16"/>
          <w:szCs w:val="16"/>
        </w:rPr>
      </w:pPr>
      <w:r>
        <w:rPr>
          <w:rFonts w:cs="Times New Roman"/>
          <w:sz w:val="16"/>
          <w:szCs w:val="16"/>
          <w:lang w:val="pl"/>
        </w:rPr>
        <w:t>Na podstawie testu Cochrana-Mantela-Haenszela porównującego aktywne leczenie z placebo po skorygowaniu według masy ciała</w:t>
      </w:r>
    </w:p>
    <w:p w14:paraId="68D56F64" w14:textId="77777777" w:rsidR="00132F98" w:rsidRDefault="00132F98">
      <w:pPr>
        <w:spacing w:line="240" w:lineRule="auto"/>
        <w:outlineLvl w:val="0"/>
      </w:pPr>
    </w:p>
    <w:p w14:paraId="68D56F65" w14:textId="77777777" w:rsidR="00132F98" w:rsidRDefault="00584E7E">
      <w:pPr>
        <w:pStyle w:val="C-BodyText"/>
        <w:spacing w:before="0" w:after="0" w:line="240" w:lineRule="auto"/>
        <w:rPr>
          <w:sz w:val="22"/>
          <w:lang w:val="pl"/>
        </w:rPr>
      </w:pPr>
      <w:r>
        <w:rPr>
          <w:sz w:val="22"/>
          <w:lang w:val="pl"/>
        </w:rPr>
        <w:t xml:space="preserve">Mediana procentowego zmniejszenia częstości występowania napadów drgawkowych z upadkiem w okresie 28 dni w stosunku do </w:t>
      </w:r>
      <w:r>
        <w:rPr>
          <w:sz w:val="22"/>
          <w:lang w:val="pl"/>
        </w:rPr>
        <w:t>punktu początkowego dla mniejszej dawki fenfluraminy (0,2 mg/kg mc. na dobę) w okresie leczenia podtrzymującego nie osiągnęła istotności statystycznej w porównaniu do placebo (mediana zmiany pomiędzy grupą pacjentów otrzymujących dawkę 0,2 mg/kg mc. na dob</w:t>
      </w:r>
      <w:r>
        <w:rPr>
          <w:sz w:val="22"/>
          <w:lang w:val="pl"/>
        </w:rPr>
        <w:t>ę a grupą otrzymującą placebo w zmianie % w stosunku do punktu początkowego w okresie leczenia podtrzymującego -11,48 [95% CI -26,61, 3,31]).</w:t>
      </w:r>
    </w:p>
    <w:p w14:paraId="68D56F66" w14:textId="77777777" w:rsidR="00132F98" w:rsidRDefault="00132F98">
      <w:pPr>
        <w:pStyle w:val="C-BodyText"/>
        <w:spacing w:before="0" w:after="0" w:line="240" w:lineRule="auto"/>
        <w:rPr>
          <w:sz w:val="22"/>
        </w:rPr>
      </w:pPr>
    </w:p>
    <w:p w14:paraId="68D56F67" w14:textId="77777777" w:rsidR="00132F98" w:rsidRDefault="00584E7E">
      <w:pPr>
        <w:pStyle w:val="C-BodyText"/>
        <w:spacing w:before="0" w:after="0" w:line="240" w:lineRule="auto"/>
        <w:rPr>
          <w:sz w:val="22"/>
          <w:lang w:val="pl"/>
        </w:rPr>
      </w:pPr>
      <w:r>
        <w:rPr>
          <w:sz w:val="22"/>
          <w:lang w:val="pl"/>
        </w:rPr>
        <w:t>Typem napadu drgawkowego z największą medianą procentowej zmiany w stosunku do punktu początkowego w grupie otrzy</w:t>
      </w:r>
      <w:r>
        <w:rPr>
          <w:sz w:val="22"/>
          <w:lang w:val="pl"/>
        </w:rPr>
        <w:t>mującej fenfluraminę w dawce 0,7 mg/kg mc. na dobę w odniesieniu do grupy otrzymującej placebo były uogólnione napady toniczno-kloniczne (-45,7% w grupie otrzymującej fenfluraminę w dawce 0,7 mg/kg mc. na dobę [n=38] w porównaniu do 3,7% w grupie otrzymują</w:t>
      </w:r>
      <w:r>
        <w:rPr>
          <w:sz w:val="22"/>
          <w:lang w:val="pl"/>
        </w:rPr>
        <w:t xml:space="preserve">cej placebo [n=38]). </w:t>
      </w:r>
    </w:p>
    <w:p w14:paraId="68D56F68" w14:textId="77777777" w:rsidR="00132F98" w:rsidRDefault="00132F98">
      <w:pPr>
        <w:pStyle w:val="C-BodyText"/>
        <w:spacing w:before="0" w:after="0" w:line="240" w:lineRule="auto"/>
        <w:rPr>
          <w:sz w:val="22"/>
          <w:lang w:val="pl"/>
        </w:rPr>
      </w:pPr>
    </w:p>
    <w:p w14:paraId="68D56F69" w14:textId="77777777" w:rsidR="00132F98" w:rsidRDefault="00584E7E">
      <w:pPr>
        <w:spacing w:line="240" w:lineRule="auto"/>
        <w:outlineLvl w:val="0"/>
        <w:rPr>
          <w:lang w:val="pl"/>
        </w:rPr>
      </w:pPr>
      <w:r>
        <w:rPr>
          <w:lang w:val="pl"/>
        </w:rPr>
        <w:t>Pacjenci z zespołem Lennoxa-Gastauta, którzy ukończyli część pierwszą badania 4 mogli wziąć udział w części drugiej, trwającym 52 tygodnie badaniu kontynuacyjnym prowadzonym metodą otwartej próby ze zmienną dawką. Głównym celem drugi</w:t>
      </w:r>
      <w:r>
        <w:rPr>
          <w:lang w:val="pl"/>
        </w:rPr>
        <w:t>ej części badania 4 była ocena długoterminowego bezpieczeństwa i tolerancji fenfluraminy w dawkach od 0,2 mg/kg mc. na dobę do 0,7 mg/kg mc. na dobę. Wszyscy pacjenci otrzymywali fenfluraminę w dawcę 0,2 mg/kg mc. na dobę przez 1 miesiąc, a następnie dawka</w:t>
      </w:r>
      <w:r>
        <w:rPr>
          <w:lang w:val="pl"/>
        </w:rPr>
        <w:t xml:space="preserve"> była dobierana w celu optymalizacji leczenia.</w:t>
      </w:r>
    </w:p>
    <w:p w14:paraId="68D56F6A" w14:textId="77777777" w:rsidR="00132F98" w:rsidRDefault="00132F98">
      <w:pPr>
        <w:spacing w:line="240" w:lineRule="auto"/>
        <w:outlineLvl w:val="0"/>
      </w:pPr>
    </w:p>
    <w:p w14:paraId="68D56F6B" w14:textId="77777777" w:rsidR="00132F98" w:rsidRDefault="00584E7E">
      <w:pPr>
        <w:pStyle w:val="C-BodyText"/>
        <w:spacing w:before="0" w:after="0" w:line="240" w:lineRule="auto"/>
        <w:rPr>
          <w:sz w:val="22"/>
          <w:lang w:val="pl"/>
        </w:rPr>
      </w:pPr>
      <w:r>
        <w:rPr>
          <w:sz w:val="22"/>
          <w:lang w:val="pl"/>
        </w:rPr>
        <w:t>Spośród 172 uczestników z zespołem Lennoxa-Gastauta leczonych produktem Fintepla przez ≥ 12 miesięcy, 46,5% otrzymało średnią dawkę dobową wynoszącą od 0,4 do &lt;0,6 mg/kg mc. na dobę, 33,7% otrzymało średnią d</w:t>
      </w:r>
      <w:r>
        <w:rPr>
          <w:sz w:val="22"/>
          <w:lang w:val="pl"/>
        </w:rPr>
        <w:t>awkę dobową wynoszącą ≥ 0,6 mg/kg mc. na dobę, 19,8% otrzymało średnią dawkę dobową wynoszącą od &gt;0 do &lt;0,4 mg/kg mc. na dobę.</w:t>
      </w:r>
    </w:p>
    <w:p w14:paraId="68D56F6C" w14:textId="77777777" w:rsidR="00132F98" w:rsidRDefault="00132F98">
      <w:pPr>
        <w:pStyle w:val="C-BodyText"/>
        <w:spacing w:before="0" w:after="0" w:line="240" w:lineRule="auto"/>
      </w:pPr>
    </w:p>
    <w:p w14:paraId="68D56F6D" w14:textId="77777777" w:rsidR="00132F98" w:rsidRDefault="00584E7E">
      <w:pPr>
        <w:spacing w:line="240" w:lineRule="auto"/>
        <w:outlineLvl w:val="0"/>
      </w:pPr>
      <w:r>
        <w:rPr>
          <w:lang w:val="pl"/>
        </w:rPr>
        <w:t>Otrzymano dane dla 247 pacjentów, którzy zostali włączeni do części drugiej badania 4 i otrzymywali fenfluraminę przez medianę c</w:t>
      </w:r>
      <w:r>
        <w:rPr>
          <w:lang w:val="pl"/>
        </w:rPr>
        <w:t>zasu trwania wynoszącą 364 dni (zakres: 19-542 dni). Badanie ukończyło łącznie 143 uczestników, 19 uczestników kontynuowało udział w badaniu, a 85 uczestników przerwało udział w badaniu. Najczęstszym powodem przerwania leczenia był brak skuteczności leczen</w:t>
      </w:r>
      <w:r>
        <w:rPr>
          <w:lang w:val="pl"/>
        </w:rPr>
        <w:t>ia (55 [22,3%]), zdarzenie niepożądane (13 [5,3%]) oraz przerwanie udziału przez uczestnika badania (13 [5,3%]).</w:t>
      </w:r>
    </w:p>
    <w:p w14:paraId="68D56F6E" w14:textId="77777777" w:rsidR="00132F98" w:rsidRDefault="00132F98">
      <w:pPr>
        <w:spacing w:line="240" w:lineRule="auto"/>
      </w:pPr>
    </w:p>
    <w:p w14:paraId="68D56F6F" w14:textId="77777777" w:rsidR="00132F98" w:rsidRDefault="00584E7E">
      <w:pPr>
        <w:spacing w:line="240" w:lineRule="auto"/>
        <w:outlineLvl w:val="0"/>
        <w:rPr>
          <w:u w:val="single"/>
        </w:rPr>
      </w:pPr>
      <w:r>
        <w:rPr>
          <w:u w:val="single"/>
        </w:rPr>
        <w:t>Dzieci i młodzież</w:t>
      </w:r>
    </w:p>
    <w:p w14:paraId="68D56F70" w14:textId="77777777" w:rsidR="00132F98" w:rsidRDefault="00132F98">
      <w:pPr>
        <w:spacing w:line="240" w:lineRule="auto"/>
        <w:outlineLvl w:val="0"/>
      </w:pPr>
    </w:p>
    <w:p w14:paraId="68D56F71" w14:textId="77777777" w:rsidR="00132F98" w:rsidRDefault="00584E7E">
      <w:pPr>
        <w:spacing w:line="240" w:lineRule="auto"/>
      </w:pPr>
      <w:r>
        <w:t>Europejska Agencja Leków wstrzymała obowiązek dołączania wyników badań produktu leczniczego Fintepla w jednej lub kilku pod</w:t>
      </w:r>
      <w:r>
        <w:t>grupach populacji dzieci i młodzieży z zespołem Dravet (stosowanie u dzieci i młodzieży, patrz punkt 4.2).</w:t>
      </w:r>
    </w:p>
    <w:p w14:paraId="68D56F72" w14:textId="77777777" w:rsidR="00132F98" w:rsidRDefault="00132F98">
      <w:pPr>
        <w:spacing w:line="240" w:lineRule="auto"/>
        <w:ind w:left="567" w:hanging="567"/>
        <w:outlineLvl w:val="0"/>
        <w:rPr>
          <w:b/>
          <w:noProof/>
          <w:szCs w:val="22"/>
        </w:rPr>
      </w:pPr>
    </w:p>
    <w:p w14:paraId="68D56F73" w14:textId="77777777" w:rsidR="00132F98" w:rsidRDefault="00584E7E">
      <w:pPr>
        <w:spacing w:line="240" w:lineRule="auto"/>
        <w:ind w:left="567" w:hanging="567"/>
        <w:outlineLvl w:val="0"/>
        <w:rPr>
          <w:b/>
          <w:noProof/>
          <w:szCs w:val="22"/>
        </w:rPr>
      </w:pPr>
      <w:r>
        <w:rPr>
          <w:b/>
          <w:szCs w:val="22"/>
        </w:rPr>
        <w:t>5.2</w:t>
      </w:r>
      <w:r>
        <w:rPr>
          <w:b/>
          <w:szCs w:val="22"/>
        </w:rPr>
        <w:tab/>
        <w:t>Właściwości farmakokinetyczne</w:t>
      </w:r>
    </w:p>
    <w:p w14:paraId="68D56F74" w14:textId="77777777" w:rsidR="00132F98" w:rsidRDefault="00132F98">
      <w:pPr>
        <w:spacing w:line="240" w:lineRule="auto"/>
        <w:ind w:left="567" w:hanging="567"/>
        <w:outlineLvl w:val="0"/>
        <w:rPr>
          <w:b/>
          <w:noProof/>
        </w:rPr>
      </w:pPr>
    </w:p>
    <w:p w14:paraId="68D56F75" w14:textId="77777777" w:rsidR="00132F98" w:rsidRDefault="00584E7E">
      <w:pPr>
        <w:spacing w:line="240" w:lineRule="auto"/>
        <w:jc w:val="both"/>
        <w:outlineLvl w:val="0"/>
        <w:rPr>
          <w:iCs/>
          <w:u w:val="single"/>
        </w:rPr>
      </w:pPr>
      <w:r>
        <w:rPr>
          <w:iCs/>
          <w:u w:val="single"/>
        </w:rPr>
        <w:t>Farmakokinetyka</w:t>
      </w:r>
    </w:p>
    <w:p w14:paraId="68D56F76" w14:textId="77777777" w:rsidR="00132F98" w:rsidRDefault="00132F98">
      <w:pPr>
        <w:spacing w:line="240" w:lineRule="auto"/>
        <w:jc w:val="both"/>
        <w:outlineLvl w:val="0"/>
      </w:pPr>
    </w:p>
    <w:p w14:paraId="68D56F77" w14:textId="77777777" w:rsidR="00132F98" w:rsidRDefault="00584E7E">
      <w:pPr>
        <w:spacing w:line="240" w:lineRule="auto"/>
        <w:outlineLvl w:val="0"/>
      </w:pPr>
      <w:r>
        <w:t xml:space="preserve">Farmakokinetykę fenfluraminy i norfenfluraminy badano u zdrowych uczestników oraz u dzieci i </w:t>
      </w:r>
      <w:r>
        <w:t>młodzieży z zespołem Dravet, a także u dzieci i dorosłych pacjentów z zespołem Lennoxa-Gastauta.</w:t>
      </w:r>
    </w:p>
    <w:p w14:paraId="68D56F78" w14:textId="77777777" w:rsidR="00132F98" w:rsidRDefault="00132F98">
      <w:pPr>
        <w:spacing w:line="240" w:lineRule="auto"/>
        <w:jc w:val="both"/>
        <w:outlineLvl w:val="0"/>
      </w:pPr>
    </w:p>
    <w:p w14:paraId="68D56F79" w14:textId="77777777" w:rsidR="00132F98" w:rsidRDefault="00584E7E">
      <w:pPr>
        <w:spacing w:line="240" w:lineRule="auto"/>
        <w:jc w:val="both"/>
        <w:outlineLvl w:val="0"/>
        <w:rPr>
          <w:iCs/>
          <w:u w:val="single"/>
        </w:rPr>
      </w:pPr>
      <w:r>
        <w:rPr>
          <w:iCs/>
          <w:u w:val="single"/>
        </w:rPr>
        <w:t>Wchłanianie</w:t>
      </w:r>
    </w:p>
    <w:p w14:paraId="68D56F7A" w14:textId="77777777" w:rsidR="00132F98" w:rsidRDefault="00132F98">
      <w:pPr>
        <w:spacing w:line="240" w:lineRule="auto"/>
        <w:jc w:val="both"/>
        <w:outlineLvl w:val="0"/>
      </w:pPr>
    </w:p>
    <w:p w14:paraId="68D56F7B" w14:textId="77777777" w:rsidR="00132F98" w:rsidRDefault="00584E7E">
      <w:pPr>
        <w:spacing w:line="240" w:lineRule="auto"/>
        <w:outlineLvl w:val="0"/>
        <w:rPr>
          <w:szCs w:val="18"/>
        </w:rPr>
      </w:pPr>
      <w:r>
        <w:rPr>
          <w:szCs w:val="18"/>
        </w:rPr>
        <w:t>Czas do osiągnięcia maksymalnego stężenia w osoczu (T</w:t>
      </w:r>
      <w:r>
        <w:rPr>
          <w:szCs w:val="18"/>
          <w:vertAlign w:val="subscript"/>
        </w:rPr>
        <w:t>max</w:t>
      </w:r>
      <w:r>
        <w:rPr>
          <w:szCs w:val="18"/>
        </w:rPr>
        <w:t>) dla fenfluraminy mieści się w zakresie od 3 do 5 godzin w stanie stacjonarnym. Bezwzglę</w:t>
      </w:r>
      <w:r>
        <w:rPr>
          <w:szCs w:val="18"/>
        </w:rPr>
        <w:t>dna biodostępność fenfluraminy wynosi około 68%-83%. Nie stwierdzono wpływu pokarmu na farmakokinetykę fenfluraminy lub norfenfluraminy.</w:t>
      </w:r>
    </w:p>
    <w:p w14:paraId="68D56F7C" w14:textId="77777777" w:rsidR="00132F98" w:rsidRDefault="00132F98">
      <w:pPr>
        <w:spacing w:line="240" w:lineRule="auto"/>
        <w:jc w:val="both"/>
        <w:outlineLvl w:val="0"/>
      </w:pPr>
    </w:p>
    <w:p w14:paraId="68D56F7D" w14:textId="77777777" w:rsidR="00132F98" w:rsidRDefault="00584E7E">
      <w:pPr>
        <w:spacing w:line="240" w:lineRule="auto"/>
        <w:outlineLvl w:val="0"/>
      </w:pPr>
      <w:r>
        <w:t>W przypadku fenfluraminy C</w:t>
      </w:r>
      <w:r>
        <w:rPr>
          <w:vertAlign w:val="subscript"/>
        </w:rPr>
        <w:t>max</w:t>
      </w:r>
      <w:r>
        <w:t xml:space="preserve"> jest osiągane mniej więcej po 3 godzinach od doustnego podania zdrowym ochotnikom pojedy</w:t>
      </w:r>
      <w:r>
        <w:t>nczej dawki i wynosi 28,6 ng/ml po podaniu dawki 0,35 mg/kg mc. oraz 59,3 ng/ml po podaniu dawki 0,7 mg/kg mc. fenfluraminy. Wartość AUC</w:t>
      </w:r>
      <w:r>
        <w:rPr>
          <w:vertAlign w:val="subscript"/>
        </w:rPr>
        <w:t>inf</w:t>
      </w:r>
      <w:r>
        <w:t xml:space="preserve"> wynosi 673 ng × h/ml oraz 1660 ng × h/ml po podaniu odpowiednio dawek 0,35 mg/kg mc. i 0,7 mg/kg mc. W przypadku nor</w:t>
      </w:r>
      <w:r>
        <w:t>fenfluraminy C</w:t>
      </w:r>
      <w:r>
        <w:rPr>
          <w:vertAlign w:val="subscript"/>
        </w:rPr>
        <w:t>max</w:t>
      </w:r>
      <w:r>
        <w:t xml:space="preserve"> jest osiągane mniej więcej po 12 godzinach od doustnego podania zdrowym ochotnikom pojedynczej dawki i wynosi 11,7 ng/ml oraz 16,1 ng/ml po podaniu odpowiednio dawek 0,35 mg/kg mc. lub 0,7 mg/kg mc. Wartość AUC</w:t>
      </w:r>
      <w:r>
        <w:rPr>
          <w:vertAlign w:val="subscript"/>
        </w:rPr>
        <w:t>inf</w:t>
      </w:r>
      <w:r>
        <w:t xml:space="preserve"> wynosi 798 ng × h/ml ora</w:t>
      </w:r>
      <w:r>
        <w:t>z około 800 ng × h/ml po podaniu odpowiednio dawek 0,35 mg/kg mc. i 0,7 mg/kg mc. C</w:t>
      </w:r>
      <w:r>
        <w:rPr>
          <w:vertAlign w:val="subscript"/>
        </w:rPr>
        <w:t>max</w:t>
      </w:r>
      <w:r>
        <w:t xml:space="preserve"> i AUC</w:t>
      </w:r>
      <w:r>
        <w:rPr>
          <w:vertAlign w:val="subscript"/>
        </w:rPr>
        <w:t>inf</w:t>
      </w:r>
      <w:r>
        <w:t xml:space="preserve"> fenfluraminy wydają się proporcjonalne do dawki w zakresie 0,35–0,7 mg/kg mc. u zdrowych ochotników. C</w:t>
      </w:r>
      <w:r>
        <w:rPr>
          <w:vertAlign w:val="subscript"/>
        </w:rPr>
        <w:t>max</w:t>
      </w:r>
      <w:r>
        <w:t xml:space="preserve"> i AUC</w:t>
      </w:r>
      <w:r>
        <w:rPr>
          <w:vertAlign w:val="subscript"/>
        </w:rPr>
        <w:t>inf</w:t>
      </w:r>
      <w:r>
        <w:t xml:space="preserve"> norfenfluraminy są w mniejszym stopniu propor</w:t>
      </w:r>
      <w:r>
        <w:t>cjonalne do dawki w zakresie 0,35–0,7 mg/kg mc. u zdrowych ochotników. Zwiększenie wartości AUC</w:t>
      </w:r>
      <w:r>
        <w:rPr>
          <w:vertAlign w:val="subscript"/>
        </w:rPr>
        <w:t>inf</w:t>
      </w:r>
      <w:r>
        <w:t xml:space="preserve"> było 0,5-krotne w przypadku dawki </w:t>
      </w:r>
      <w:r>
        <w:lastRenderedPageBreak/>
        <w:t>0,7 mg/kg mc. w porównaniu z dawką 0,35 mg/kg mc. Zwiększenie wartości C</w:t>
      </w:r>
      <w:r>
        <w:rPr>
          <w:vertAlign w:val="subscript"/>
        </w:rPr>
        <w:t>max</w:t>
      </w:r>
      <w:r>
        <w:t xml:space="preserve"> było 0,7-krotne w przypadku dawki 0,7 mg/kg mc.</w:t>
      </w:r>
      <w:r>
        <w:t xml:space="preserve"> w porównaniu z dawką 0,35 mg/kg mc.</w:t>
      </w:r>
    </w:p>
    <w:p w14:paraId="68D56F7E" w14:textId="77777777" w:rsidR="00132F98" w:rsidRDefault="00132F98">
      <w:pPr>
        <w:spacing w:line="240" w:lineRule="auto"/>
        <w:jc w:val="both"/>
        <w:outlineLvl w:val="0"/>
      </w:pPr>
    </w:p>
    <w:p w14:paraId="68D56F7F" w14:textId="77777777" w:rsidR="00132F98" w:rsidRDefault="00584E7E">
      <w:pPr>
        <w:spacing w:line="240" w:lineRule="auto"/>
        <w:outlineLvl w:val="0"/>
      </w:pPr>
      <w:r>
        <w:t>U dzieci i młodzieży z zespołem Dravet ekspozycja w stanie stacjonarnym (AUC</w:t>
      </w:r>
      <w:r>
        <w:rPr>
          <w:vertAlign w:val="subscript"/>
        </w:rPr>
        <w:t>0</w:t>
      </w:r>
      <w:r>
        <w:rPr>
          <w:vertAlign w:val="subscript"/>
        </w:rPr>
        <w:noBreakHyphen/>
        <w:t>24</w:t>
      </w:r>
      <w:r>
        <w:t>) po podaniu dwa razy na dobę fenfluraminy w dawce 0,2 mg/kg mc. na dobę wynosi 371 ng*h/ml w przypadku fenfluraminy oraz 222 ng*h/ml w pr</w:t>
      </w:r>
      <w:r>
        <w:t>zypadku norfenfluraminy. U dzieci i młodzieży po podaniu dwa razy na dobę fenfluraminy w dawce 0,7 mg/kg mc. na dobę, maksymalnie 26 mg na dobę, ekspozycja w stanie stacjonarnym (AUC</w:t>
      </w:r>
      <w:r>
        <w:rPr>
          <w:vertAlign w:val="subscript"/>
        </w:rPr>
        <w:t>0</w:t>
      </w:r>
      <w:r>
        <w:rPr>
          <w:vertAlign w:val="subscript"/>
        </w:rPr>
        <w:noBreakHyphen/>
        <w:t>24</w:t>
      </w:r>
      <w:r>
        <w:t>) wynosi 1400 ng*h/ml w przypadku fenfluraminy oraz 869 ng*h/ml w przy</w:t>
      </w:r>
      <w:r>
        <w:t>padku norfenfluraminy. Wartość C</w:t>
      </w:r>
      <w:r>
        <w:rPr>
          <w:vertAlign w:val="subscript"/>
        </w:rPr>
        <w:t>max,ss</w:t>
      </w:r>
      <w:r>
        <w:t xml:space="preserve"> wynosiła 68,6 ng/ml w przypadku fenfluraminy i 37,8 ng/ml w przypadku norfenfluraminy. W przypadku jednoczesnego podawania styrypentolu wartość AUC</w:t>
      </w:r>
      <w:r>
        <w:rPr>
          <w:vertAlign w:val="subscript"/>
        </w:rPr>
        <w:t>0</w:t>
      </w:r>
      <w:r>
        <w:rPr>
          <w:vertAlign w:val="subscript"/>
        </w:rPr>
        <w:noBreakHyphen/>
        <w:t>24</w:t>
      </w:r>
      <w:r>
        <w:t xml:space="preserve"> w stanie stacjonarnym wynosi 1030 ng*h/ml w przypadku fenfluraminy oraz 139 ng*h/ml w przypadku norfenfluraminy po podaniu dwa razy na dobę dawki wynoszącej 0,2 mg/kg mc. na dobę; wartość AUC</w:t>
      </w:r>
      <w:r>
        <w:rPr>
          <w:vertAlign w:val="subscript"/>
        </w:rPr>
        <w:t>0</w:t>
      </w:r>
      <w:r>
        <w:rPr>
          <w:vertAlign w:val="subscript"/>
        </w:rPr>
        <w:noBreakHyphen/>
        <w:t>24</w:t>
      </w:r>
      <w:r>
        <w:t xml:space="preserve"> w stanie stacjonarnym wynosi 3240 ng*h/ml w przypadku fenfl</w:t>
      </w:r>
      <w:r>
        <w:t>uraminy oraz 364 ng*h/ml w przypadku norfenfluraminy po podaniu dwa razy na dobę dawki wynoszącej 0,35 mg/kg mc. na dobę.</w:t>
      </w:r>
    </w:p>
    <w:p w14:paraId="68D56F80" w14:textId="77777777" w:rsidR="00132F98" w:rsidRDefault="00132F98">
      <w:pPr>
        <w:spacing w:line="240" w:lineRule="auto"/>
        <w:jc w:val="both"/>
        <w:outlineLvl w:val="0"/>
      </w:pPr>
    </w:p>
    <w:p w14:paraId="68D56F81" w14:textId="77777777" w:rsidR="00132F98" w:rsidRDefault="00584E7E">
      <w:pPr>
        <w:spacing w:line="240" w:lineRule="auto"/>
        <w:outlineLvl w:val="0"/>
      </w:pPr>
      <w:r>
        <w:rPr>
          <w:lang w:val="pl"/>
        </w:rPr>
        <w:t>U dzieci, młodzieży i dorosłych pacjentów z zespołem Lennoxa-Gastauta, którzy otrzymywali produkt Fintepla w dawce 0,7 mg/kg mc. na d</w:t>
      </w:r>
      <w:r>
        <w:rPr>
          <w:lang w:val="pl"/>
        </w:rPr>
        <w:t>obę, podawany dwa razy na dobę, do maksymalnej dawki dobowej 26 mg fenfluraminy, ogólnoustrojowa ekspozycja w stanie stacjonarnym (C</w:t>
      </w:r>
      <w:r>
        <w:rPr>
          <w:vertAlign w:val="subscript"/>
          <w:lang w:val="pl"/>
        </w:rPr>
        <w:t>max</w:t>
      </w:r>
      <w:r>
        <w:rPr>
          <w:lang w:val="pl"/>
        </w:rPr>
        <w:t xml:space="preserve"> i AUC</w:t>
      </w:r>
      <w:r>
        <w:rPr>
          <w:vertAlign w:val="subscript"/>
          <w:lang w:val="pl"/>
        </w:rPr>
        <w:t>0-24h</w:t>
      </w:r>
      <w:r>
        <w:rPr>
          <w:lang w:val="pl"/>
        </w:rPr>
        <w:t>) na fenfluraminę jest średnio nieznacznie mniejsza, lecz nie jest ona uznawana za istotnie różną od ekspozycj</w:t>
      </w:r>
      <w:r>
        <w:rPr>
          <w:lang w:val="pl"/>
        </w:rPr>
        <w:t xml:space="preserve">i u pacjentów z zespołem Dravet. </w:t>
      </w:r>
    </w:p>
    <w:p w14:paraId="68D56F82" w14:textId="77777777" w:rsidR="00132F98" w:rsidRDefault="00132F98">
      <w:pPr>
        <w:spacing w:line="240" w:lineRule="auto"/>
        <w:outlineLvl w:val="0"/>
      </w:pPr>
    </w:p>
    <w:p w14:paraId="68D56F83" w14:textId="77777777" w:rsidR="00132F98" w:rsidRDefault="00584E7E">
      <w:pPr>
        <w:spacing w:line="240" w:lineRule="auto"/>
        <w:outlineLvl w:val="0"/>
      </w:pPr>
      <w:r>
        <w:t>Okres półtrwania fenfluraminy i norfenfluraminy w osoczu wskazuje, że około 94% stanu stacjonarnego zostanie osiągnięte mniej więcej po 4 dniach w przypadku fenfluraminy i 5 dniach w przypadku norfenfluraminy (4 okresy pó</w:t>
      </w:r>
      <w:r>
        <w:t>łtrwania). U zdrowych uczestników współczynnik kumulacji C</w:t>
      </w:r>
      <w:r>
        <w:rPr>
          <w:vertAlign w:val="subscript"/>
        </w:rPr>
        <w:t>max</w:t>
      </w:r>
      <w:r>
        <w:t xml:space="preserve"> wynosi 3,7 razy w przypadku fenfluraminy i 6,4 razy w przypadku norfenfluraminy, a współczynnik kumulacji AUC</w:t>
      </w:r>
      <w:r>
        <w:rPr>
          <w:vertAlign w:val="subscript"/>
        </w:rPr>
        <w:t>0-24</w:t>
      </w:r>
      <w:r>
        <w:t xml:space="preserve"> wynosi 2,6 razy w przypadku fenfluraminy i 3,7 razy w przypadku norfenfluraminy.</w:t>
      </w:r>
    </w:p>
    <w:p w14:paraId="68D56F84" w14:textId="77777777" w:rsidR="00132F98" w:rsidRDefault="00132F98">
      <w:pPr>
        <w:spacing w:line="240" w:lineRule="auto"/>
        <w:jc w:val="both"/>
        <w:outlineLvl w:val="0"/>
      </w:pPr>
    </w:p>
    <w:p w14:paraId="68D56F85" w14:textId="77777777" w:rsidR="00132F98" w:rsidRDefault="00584E7E">
      <w:pPr>
        <w:spacing w:line="240" w:lineRule="auto"/>
        <w:jc w:val="both"/>
        <w:outlineLvl w:val="0"/>
        <w:rPr>
          <w:iCs/>
          <w:u w:val="single"/>
        </w:rPr>
      </w:pPr>
      <w:r>
        <w:rPr>
          <w:iCs/>
          <w:u w:val="single"/>
        </w:rPr>
        <w:t>Dystrybucja</w:t>
      </w:r>
    </w:p>
    <w:p w14:paraId="68D56F86" w14:textId="77777777" w:rsidR="00132F98" w:rsidRDefault="00132F98">
      <w:pPr>
        <w:spacing w:line="240" w:lineRule="auto"/>
        <w:outlineLvl w:val="0"/>
      </w:pPr>
    </w:p>
    <w:p w14:paraId="68D56F87" w14:textId="77777777" w:rsidR="00132F98" w:rsidRDefault="00584E7E">
      <w:pPr>
        <w:spacing w:line="240" w:lineRule="auto"/>
        <w:outlineLvl w:val="0"/>
      </w:pPr>
      <w:r>
        <w:t xml:space="preserve">Fenfluramina wiąże się w 50% z białkami osocza ludzkiego w warunkach </w:t>
      </w:r>
      <w:r>
        <w:rPr>
          <w:i/>
          <w:iCs/>
        </w:rPr>
        <w:t>in vitro</w:t>
      </w:r>
      <w:r>
        <w:t>, a stopień wiązania nie zależy od stężenia fenfluraminy. Średnia geometryczna (CV%) objętości dystrybucji (V</w:t>
      </w:r>
      <w:r>
        <w:rPr>
          <w:vertAlign w:val="subscript"/>
        </w:rPr>
        <w:t>z</w:t>
      </w:r>
      <w:r>
        <w:t>/F) fenfluraminy wynosi 11,9 (16,5%) l/kg mc. po doust</w:t>
      </w:r>
      <w:r>
        <w:t>nym podaniu fenfluraminy zdrowym uczestnikom.</w:t>
      </w:r>
    </w:p>
    <w:p w14:paraId="68D56F88" w14:textId="77777777" w:rsidR="00132F98" w:rsidRDefault="00132F98">
      <w:pPr>
        <w:spacing w:line="240" w:lineRule="auto"/>
        <w:jc w:val="both"/>
        <w:outlineLvl w:val="0"/>
      </w:pPr>
    </w:p>
    <w:p w14:paraId="68D56F89" w14:textId="77777777" w:rsidR="00132F98" w:rsidRDefault="00584E7E">
      <w:pPr>
        <w:spacing w:line="240" w:lineRule="auto"/>
        <w:jc w:val="both"/>
        <w:outlineLvl w:val="0"/>
        <w:rPr>
          <w:u w:val="single"/>
        </w:rPr>
      </w:pPr>
      <w:r>
        <w:rPr>
          <w:u w:val="single"/>
        </w:rPr>
        <w:t>Metabolizm</w:t>
      </w:r>
    </w:p>
    <w:p w14:paraId="68D56F8A" w14:textId="77777777" w:rsidR="00132F98" w:rsidRDefault="00132F98">
      <w:pPr>
        <w:spacing w:line="240" w:lineRule="auto"/>
        <w:jc w:val="both"/>
        <w:outlineLvl w:val="0"/>
      </w:pPr>
    </w:p>
    <w:p w14:paraId="68D56F8B" w14:textId="77777777" w:rsidR="00132F98" w:rsidRDefault="00584E7E">
      <w:pPr>
        <w:spacing w:line="240" w:lineRule="auto"/>
        <w:outlineLvl w:val="0"/>
      </w:pPr>
      <w:r>
        <w:t xml:space="preserve">Przed eliminacją ponad 75% fenfluraminy jest metabolizowane do norfenfluraminy, głównie przez CYP1A2, CYP2B6 oraz CYP2D6. Norfenfluramina jest następnie deaminowana i utleniana, tworząc nieaktywne </w:t>
      </w:r>
      <w:r>
        <w:t>metabolity. Stopień, w jakim te nieaktywne metabolity występują w osoczu i moczu, jest nieznany. Udział innych enzymów niż CYP (np. UGT) w metabolizmie norfenfluraminy jest nieznany, ale dane literaturowe wskazują, że norfenfluramina może w znacznym stopni</w:t>
      </w:r>
      <w:r>
        <w:t>u podlegać glukuronidacji.</w:t>
      </w:r>
    </w:p>
    <w:p w14:paraId="68D56F8C" w14:textId="77777777" w:rsidR="00132F98" w:rsidRDefault="00132F98">
      <w:pPr>
        <w:autoSpaceDE w:val="0"/>
        <w:autoSpaceDN w:val="0"/>
        <w:adjustRightInd w:val="0"/>
        <w:spacing w:line="240" w:lineRule="auto"/>
        <w:rPr>
          <w:szCs w:val="22"/>
          <w:u w:val="single"/>
        </w:rPr>
      </w:pPr>
    </w:p>
    <w:p w14:paraId="68D56F8D" w14:textId="77777777" w:rsidR="00132F98" w:rsidRDefault="00584E7E">
      <w:pPr>
        <w:keepNext/>
        <w:keepLines/>
        <w:spacing w:line="240" w:lineRule="auto"/>
        <w:jc w:val="both"/>
        <w:outlineLvl w:val="0"/>
        <w:rPr>
          <w:u w:val="single"/>
        </w:rPr>
      </w:pPr>
      <w:r>
        <w:rPr>
          <w:u w:val="single"/>
        </w:rPr>
        <w:t>Transportery</w:t>
      </w:r>
    </w:p>
    <w:p w14:paraId="68D56F8E" w14:textId="77777777" w:rsidR="00132F98" w:rsidRDefault="00132F98">
      <w:pPr>
        <w:keepNext/>
        <w:keepLines/>
        <w:spacing w:line="240" w:lineRule="auto"/>
        <w:jc w:val="both"/>
        <w:outlineLvl w:val="0"/>
      </w:pPr>
    </w:p>
    <w:p w14:paraId="68D56F8F" w14:textId="77777777" w:rsidR="00132F98" w:rsidRDefault="00584E7E">
      <w:pPr>
        <w:keepNext/>
        <w:keepLines/>
        <w:spacing w:line="240" w:lineRule="auto"/>
        <w:outlineLvl w:val="0"/>
      </w:pPr>
      <w:r>
        <w:t xml:space="preserve">W warunkach </w:t>
      </w:r>
      <w:r>
        <w:rPr>
          <w:i/>
        </w:rPr>
        <w:t>in vitro</w:t>
      </w:r>
      <w:r>
        <w:t xml:space="preserve"> fenfluramina i norfenfluramina nie były substratami glikoproteiny P, BCRP, OATP1B1, OATP1B3, OATP1A2, OATP2B1, OCT1, OAT1, OAT3, OCT2, MATE1 ani MATE2-K.</w:t>
      </w:r>
    </w:p>
    <w:p w14:paraId="68D56F90" w14:textId="77777777" w:rsidR="00132F98" w:rsidRDefault="00132F98">
      <w:pPr>
        <w:spacing w:line="240" w:lineRule="auto"/>
        <w:jc w:val="both"/>
        <w:outlineLvl w:val="0"/>
      </w:pPr>
    </w:p>
    <w:p w14:paraId="68D56F91" w14:textId="77777777" w:rsidR="00132F98" w:rsidRDefault="00584E7E">
      <w:pPr>
        <w:spacing w:line="240" w:lineRule="auto"/>
        <w:jc w:val="both"/>
        <w:outlineLvl w:val="0"/>
        <w:rPr>
          <w:iCs/>
          <w:u w:val="single"/>
        </w:rPr>
      </w:pPr>
      <w:r>
        <w:rPr>
          <w:iCs/>
          <w:u w:val="single"/>
        </w:rPr>
        <w:t>Eliminacja</w:t>
      </w:r>
    </w:p>
    <w:p w14:paraId="68D56F92" w14:textId="77777777" w:rsidR="00132F98" w:rsidRDefault="00132F98">
      <w:pPr>
        <w:spacing w:line="240" w:lineRule="auto"/>
        <w:outlineLvl w:val="0"/>
      </w:pPr>
    </w:p>
    <w:p w14:paraId="68D56F93" w14:textId="77777777" w:rsidR="00132F98" w:rsidRDefault="00584E7E">
      <w:pPr>
        <w:spacing w:line="240" w:lineRule="auto"/>
        <w:outlineLvl w:val="0"/>
      </w:pPr>
      <w:r>
        <w:t>Większość podanej doustnie dawki fenfluraminy (&gt;90%) jest wydalana z moczem głównie w po</w:t>
      </w:r>
      <w:r>
        <w:t>staci metabolitu; w kale pozostaje mniej niż 5% dawki. Średnia geometryczna (CV%) klirensu (CL/F) fenfluraminy wynosi 6,9 l/h (29%), a okres półtrwania wynosi 20 godzin po doustnym podaniu fenfluraminy zdrowym osobom. Okres półtrwania norfenfluraminy w faz</w:t>
      </w:r>
      <w:r>
        <w:t>ie eliminacji wynosi w przybliżeniu 30 godzin.</w:t>
      </w:r>
    </w:p>
    <w:p w14:paraId="68D56F94" w14:textId="77777777" w:rsidR="00132F98" w:rsidRDefault="00132F98">
      <w:pPr>
        <w:numPr>
          <w:ilvl w:val="12"/>
          <w:numId w:val="0"/>
        </w:numPr>
        <w:spacing w:line="240" w:lineRule="auto"/>
        <w:ind w:right="-2"/>
        <w:jc w:val="both"/>
        <w:rPr>
          <w:iCs/>
          <w:noProof/>
          <w:szCs w:val="22"/>
        </w:rPr>
      </w:pPr>
    </w:p>
    <w:p w14:paraId="68D56F95" w14:textId="77777777" w:rsidR="00132F98" w:rsidRDefault="00584E7E">
      <w:pPr>
        <w:numPr>
          <w:ilvl w:val="12"/>
          <w:numId w:val="0"/>
        </w:numPr>
        <w:spacing w:line="240" w:lineRule="auto"/>
        <w:ind w:right="-2"/>
        <w:jc w:val="both"/>
        <w:rPr>
          <w:iCs/>
          <w:noProof/>
          <w:szCs w:val="22"/>
          <w:u w:val="single"/>
        </w:rPr>
      </w:pPr>
      <w:r>
        <w:rPr>
          <w:iCs/>
          <w:szCs w:val="22"/>
          <w:u w:val="single"/>
        </w:rPr>
        <w:t>Szczególne grupy pacjentów</w:t>
      </w:r>
    </w:p>
    <w:p w14:paraId="68D56F96" w14:textId="77777777" w:rsidR="00132F98" w:rsidRDefault="00132F98">
      <w:pPr>
        <w:numPr>
          <w:ilvl w:val="12"/>
          <w:numId w:val="0"/>
        </w:numPr>
        <w:spacing w:line="240" w:lineRule="auto"/>
        <w:ind w:right="-2"/>
        <w:rPr>
          <w:i/>
          <w:iCs/>
          <w:noProof/>
          <w:szCs w:val="22"/>
        </w:rPr>
      </w:pPr>
    </w:p>
    <w:p w14:paraId="68D56F97" w14:textId="77777777" w:rsidR="00132F98" w:rsidRDefault="00584E7E">
      <w:pPr>
        <w:numPr>
          <w:ilvl w:val="12"/>
          <w:numId w:val="0"/>
        </w:numPr>
        <w:spacing w:line="240" w:lineRule="auto"/>
        <w:ind w:right="-2"/>
        <w:rPr>
          <w:iCs/>
          <w:noProof/>
          <w:szCs w:val="22"/>
        </w:rPr>
      </w:pPr>
      <w:r>
        <w:rPr>
          <w:i/>
          <w:iCs/>
          <w:szCs w:val="22"/>
        </w:rPr>
        <w:t>Polimorfizm genetyczny</w:t>
      </w:r>
    </w:p>
    <w:p w14:paraId="68D56F98" w14:textId="77777777" w:rsidR="00132F98" w:rsidRDefault="00584E7E">
      <w:pPr>
        <w:numPr>
          <w:ilvl w:val="12"/>
          <w:numId w:val="0"/>
        </w:numPr>
        <w:spacing w:line="240" w:lineRule="auto"/>
        <w:ind w:right="-2"/>
        <w:rPr>
          <w:iCs/>
          <w:noProof/>
          <w:szCs w:val="22"/>
        </w:rPr>
      </w:pPr>
      <w:r>
        <w:t>Nie zaobserwowano wpływu genotypu CYP1A2, CYP2B6, CYP2C19, CYP2D6 ani CYP3A4 na PK fenfluraminy i norfenfluraminy.</w:t>
      </w:r>
    </w:p>
    <w:p w14:paraId="68D56F99" w14:textId="77777777" w:rsidR="00132F98" w:rsidRDefault="00132F98">
      <w:pPr>
        <w:numPr>
          <w:ilvl w:val="12"/>
          <w:numId w:val="0"/>
        </w:numPr>
        <w:spacing w:line="240" w:lineRule="auto"/>
        <w:ind w:right="-2"/>
        <w:rPr>
          <w:iCs/>
          <w:noProof/>
          <w:szCs w:val="22"/>
        </w:rPr>
      </w:pPr>
    </w:p>
    <w:p w14:paraId="68D56F9A" w14:textId="77777777" w:rsidR="00132F98" w:rsidRDefault="00584E7E">
      <w:pPr>
        <w:numPr>
          <w:ilvl w:val="12"/>
          <w:numId w:val="0"/>
        </w:numPr>
        <w:spacing w:line="240" w:lineRule="auto"/>
        <w:ind w:right="-2"/>
        <w:rPr>
          <w:iCs/>
          <w:noProof/>
          <w:szCs w:val="22"/>
        </w:rPr>
      </w:pPr>
      <w:r>
        <w:rPr>
          <w:i/>
          <w:iCs/>
          <w:szCs w:val="22"/>
        </w:rPr>
        <w:t>Zaburzenia czynności nerek</w:t>
      </w:r>
    </w:p>
    <w:p w14:paraId="68D56F9B" w14:textId="77777777" w:rsidR="00132F98" w:rsidRDefault="00584E7E">
      <w:r>
        <w:t>Eliminacja prz</w:t>
      </w:r>
      <w:r>
        <w:t xml:space="preserve">ez nerki jest główną drogą eliminacji fenfluraminy — ponad 90% podanej dawki jest wydalane z moczem w postaci związku macierzystego lub metabolitów. W badaniu porównującym farmakokinetykę pojedynczej dawki fenfluraminy wynoszącej </w:t>
      </w:r>
      <w:r>
        <w:rPr>
          <w:noProof/>
        </w:rPr>
        <w:t>0,35 mg/kg mc.</w:t>
      </w:r>
      <w:r>
        <w:t xml:space="preserve"> u uczestnik</w:t>
      </w:r>
      <w:r>
        <w:t xml:space="preserve">ów z ciężkimi zaburzeniami czynności nerek (stwierdzonymi na podstawie szacunkowego współczynnika przesączania kłębuszkowego wynoszącego </w:t>
      </w:r>
      <w:r>
        <w:rPr>
          <w:noProof/>
        </w:rPr>
        <w:t>&lt; 30 ml/min/1,73m</w:t>
      </w:r>
      <w:r>
        <w:rPr>
          <w:noProof/>
          <w:vertAlign w:val="superscript"/>
        </w:rPr>
        <w:t>2</w:t>
      </w:r>
      <w:r>
        <w:rPr>
          <w:noProof/>
        </w:rPr>
        <w:t xml:space="preserve"> zgodnie z </w:t>
      </w:r>
      <w:r>
        <w:t>modyfikacją diety w chorobie nerek) i u zdrowych ochotników C</w:t>
      </w:r>
      <w:r>
        <w:rPr>
          <w:vertAlign w:val="subscript"/>
        </w:rPr>
        <w:t>max</w:t>
      </w:r>
      <w:r>
        <w:t xml:space="preserve"> i </w:t>
      </w:r>
      <w:r>
        <w:rPr>
          <w:noProof/>
        </w:rPr>
        <w:t xml:space="preserve">AUC0-t fenfluraminy zwiększyły się odpowiednio o 20% i 87% </w:t>
      </w:r>
      <w:r>
        <w:t>w przypadku ciężkich zaburzeń czynności nerek. Te zwiększenia ekspozycji na fenfluraminę nie są klinicznie istotne. U uczestników z ciężkimi zaburzeniami czynności nerek obserwowano niewielkie i ni</w:t>
      </w:r>
      <w:r>
        <w:t xml:space="preserve">eistotne zmiany </w:t>
      </w:r>
      <w:r>
        <w:rPr>
          <w:noProof/>
        </w:rPr>
        <w:t>AUC0-t i C</w:t>
      </w:r>
      <w:r>
        <w:rPr>
          <w:noProof/>
          <w:vertAlign w:val="subscript"/>
        </w:rPr>
        <w:t>max</w:t>
      </w:r>
      <w:r>
        <w:rPr>
          <w:noProof/>
        </w:rPr>
        <w:t xml:space="preserve"> norfenfluraminy. </w:t>
      </w:r>
      <w:r>
        <w:t>Nie zaleca się zmiany dawki produktu Fintepla u pacjentów z łagodnymi do ciężkich zaburzeniami czynności nerek, jednak można rozważyć wolniejsze zwiększanie dawki. W przypadku występowania działań niepożądanyc</w:t>
      </w:r>
      <w:r>
        <w:t>h konieczne może być zmniejszenie dawki.</w:t>
      </w:r>
    </w:p>
    <w:p w14:paraId="68D56F9C" w14:textId="77777777" w:rsidR="00132F98" w:rsidRDefault="00132F98"/>
    <w:p w14:paraId="68D56F9D" w14:textId="77777777" w:rsidR="00132F98" w:rsidRDefault="00584E7E">
      <w:pPr>
        <w:keepNext/>
        <w:numPr>
          <w:ilvl w:val="12"/>
          <w:numId w:val="0"/>
        </w:numPr>
        <w:spacing w:line="240" w:lineRule="auto"/>
        <w:ind w:right="-2"/>
        <w:rPr>
          <w:i/>
          <w:iCs/>
          <w:noProof/>
          <w:szCs w:val="22"/>
        </w:rPr>
      </w:pPr>
      <w:r>
        <w:rPr>
          <w:i/>
          <w:iCs/>
          <w:szCs w:val="22"/>
        </w:rPr>
        <w:t>Zaburzenia czynności wątroby</w:t>
      </w:r>
    </w:p>
    <w:p w14:paraId="68D56F9E" w14:textId="77777777" w:rsidR="00132F98" w:rsidRDefault="00584E7E">
      <w:pPr>
        <w:numPr>
          <w:ilvl w:val="12"/>
          <w:numId w:val="0"/>
        </w:numPr>
        <w:spacing w:line="240" w:lineRule="auto"/>
        <w:ind w:right="-2"/>
        <w:rPr>
          <w:iCs/>
          <w:noProof/>
          <w:szCs w:val="22"/>
        </w:rPr>
      </w:pPr>
      <w:r>
        <w:t>W badaniu porównującym farmakokinetykę pojedynczej dawki fenfluraminy wynoszącej 0,35 mg/kg mc., u uczestników z łagodnymi, umiarkowanymi lub ciężkimi zaburzeniami czynności wątroby (od</w:t>
      </w:r>
      <w:r>
        <w:t xml:space="preserve">powiednio klasa A, B lub C według klasyfikacji Childa-Pugha), wartość </w:t>
      </w:r>
      <w:r>
        <w:rPr>
          <w:szCs w:val="22"/>
        </w:rPr>
        <w:t>AUC</w:t>
      </w:r>
      <w:r>
        <w:rPr>
          <w:vertAlign w:val="subscript"/>
        </w:rPr>
        <w:t>0-t</w:t>
      </w:r>
      <w:r>
        <w:rPr>
          <w:szCs w:val="22"/>
        </w:rPr>
        <w:t xml:space="preserve"> fenfluraminy zwiększyła się o 95% u uczestników z łagodnymi zaburzeniami czynności wątroby, o 113% u uczestników z umiarkowanymi zaburzeniami czynności wątroby oraz o 185% u uczes</w:t>
      </w:r>
      <w:r>
        <w:rPr>
          <w:szCs w:val="22"/>
        </w:rPr>
        <w:t>tników z ciężkimi zaburzeniami czynności wątroby w odniesieniu do odpowiednich uczestników z prawidłową czynnością wątroby. Zwiększenie C</w:t>
      </w:r>
      <w:r>
        <w:rPr>
          <w:vertAlign w:val="subscript"/>
        </w:rPr>
        <w:t>max</w:t>
      </w:r>
      <w:r>
        <w:rPr>
          <w:szCs w:val="22"/>
        </w:rPr>
        <w:t xml:space="preserve"> fenfluraminy mieściło się w zakresie od 19% do 29% w przypadku zaburzeń wątroby. U uczestników z zaburzeniami czynn</w:t>
      </w:r>
      <w:r>
        <w:rPr>
          <w:szCs w:val="22"/>
        </w:rPr>
        <w:t>ości wątroby ekspozycja ogólnoustrojowa na norfenfluraminę nieznacznie zwiększyła się o maksymalnie 18% (AUC</w:t>
      </w:r>
      <w:r>
        <w:rPr>
          <w:vertAlign w:val="subscript"/>
        </w:rPr>
        <w:t>0-t</w:t>
      </w:r>
      <w:r>
        <w:rPr>
          <w:szCs w:val="22"/>
        </w:rPr>
        <w:t>) lub zmniejszyła się maksymalnie o 45% (C</w:t>
      </w:r>
      <w:r>
        <w:rPr>
          <w:vertAlign w:val="subscript"/>
        </w:rPr>
        <w:t>max</w:t>
      </w:r>
      <w:r>
        <w:rPr>
          <w:szCs w:val="22"/>
        </w:rPr>
        <w:t>). U uczestników z łagodnymi, umiarkowanymi i ciężkimi zaburzeniami czynności wątroby średni okres p</w:t>
      </w:r>
      <w:r>
        <w:rPr>
          <w:szCs w:val="22"/>
        </w:rPr>
        <w:t>ółtrwania fenfluraminy w fazie eliminacji z osocza zwiększył się odpowiednio do 34,5 godziny; 41,1 godziny i 54,6 godziny w porównaniu do 22,8 godziny u uczestników z prawidłową czynnością wątroby. Odpowiadający mu średni okres półtrwania norfenfluraminy w</w:t>
      </w:r>
      <w:r>
        <w:rPr>
          <w:szCs w:val="22"/>
        </w:rPr>
        <w:t xml:space="preserve"> fazie eliminacji z osocza wynosił odpowiednio 54,0 godziny; 72,5 godziny i 69,0 godzin, w porównaniu do 30,2 godziny u uczestników z prawidłową czynnością wątroby. Uważa się, że różnice w ekspozycji w łagodnych i umiarkowanych zaburzeniach czynności wątro</w:t>
      </w:r>
      <w:r>
        <w:rPr>
          <w:szCs w:val="22"/>
        </w:rPr>
        <w:t>by nie są klinicznie znaczące. U pacjentów z ciężkimi zaburzeniami wątroby należy zmniejszyć dawkę fenfluraminy [informacje dotyczące szczególnych grup pacjentów można znaleźć w punkcie 4.2., Dawkowanie i sposób podawania].</w:t>
      </w:r>
    </w:p>
    <w:p w14:paraId="68D56F9F" w14:textId="77777777" w:rsidR="00132F98" w:rsidRDefault="00132F98">
      <w:pPr>
        <w:numPr>
          <w:ilvl w:val="12"/>
          <w:numId w:val="0"/>
        </w:numPr>
        <w:spacing w:line="240" w:lineRule="auto"/>
        <w:ind w:right="-2"/>
        <w:jc w:val="both"/>
        <w:rPr>
          <w:iCs/>
          <w:noProof/>
          <w:szCs w:val="22"/>
        </w:rPr>
      </w:pPr>
    </w:p>
    <w:p w14:paraId="68D56FA0" w14:textId="77777777" w:rsidR="00132F98" w:rsidRDefault="00584E7E">
      <w:pPr>
        <w:numPr>
          <w:ilvl w:val="12"/>
          <w:numId w:val="0"/>
        </w:numPr>
        <w:spacing w:line="240" w:lineRule="auto"/>
        <w:ind w:right="-2"/>
      </w:pPr>
      <w:r>
        <w:t>Retrospektywna analiza ekspozyc</w:t>
      </w:r>
      <w:r>
        <w:t>ji na fenfluraminę i norfenfluraminę w stanie stacjonarnym w badaniu 2, w Kohorcie 2 (n=12) nie wykazała istotnych klinicznie zmian w przypadku braku lub obecności stabilnych dawek styrypentolu u pacjentów z zespołem Dravet w badaniach trzeciej fazy, który</w:t>
      </w:r>
      <w:r>
        <w:t>ch zaliczono do grupy pacjentów z łagodnymi zaburzeniami czynności wątroby w porównaniu do pacjentów z prawidłową czynnością wątroby (AspAT/AlAT i BILI ≤ GGN).</w:t>
      </w:r>
    </w:p>
    <w:p w14:paraId="68D56FA1" w14:textId="77777777" w:rsidR="00132F98" w:rsidRDefault="00584E7E">
      <w:pPr>
        <w:numPr>
          <w:ilvl w:val="12"/>
          <w:numId w:val="0"/>
        </w:numPr>
        <w:spacing w:line="240" w:lineRule="auto"/>
        <w:ind w:right="-2"/>
      </w:pPr>
      <w:r>
        <w:t xml:space="preserve">Nie zaleca się stosowania fenfluraminy u pacjentów z umiarkowanymi i ciężkimi </w:t>
      </w:r>
      <w:r>
        <w:t>zaburzeniami czynności wątroby leczonych styrypentolem.</w:t>
      </w:r>
    </w:p>
    <w:p w14:paraId="68D56FA2" w14:textId="77777777" w:rsidR="00132F98" w:rsidRDefault="00132F98">
      <w:pPr>
        <w:numPr>
          <w:ilvl w:val="12"/>
          <w:numId w:val="0"/>
        </w:numPr>
        <w:spacing w:line="240" w:lineRule="auto"/>
        <w:ind w:right="-2"/>
        <w:jc w:val="both"/>
        <w:rPr>
          <w:iCs/>
          <w:noProof/>
          <w:szCs w:val="22"/>
        </w:rPr>
      </w:pPr>
    </w:p>
    <w:p w14:paraId="68D56FA3" w14:textId="77777777" w:rsidR="00132F98" w:rsidRDefault="00584E7E">
      <w:pPr>
        <w:spacing w:line="240" w:lineRule="auto"/>
        <w:ind w:right="-2"/>
        <w:rPr>
          <w:iCs/>
          <w:szCs w:val="22"/>
        </w:rPr>
      </w:pPr>
      <w:r>
        <w:rPr>
          <w:i/>
          <w:iCs/>
          <w:szCs w:val="22"/>
        </w:rPr>
        <w:t>Masa ciała</w:t>
      </w:r>
    </w:p>
    <w:p w14:paraId="68D56FA4" w14:textId="77777777" w:rsidR="00132F98" w:rsidRDefault="00584E7E">
      <w:pPr>
        <w:spacing w:line="240" w:lineRule="auto"/>
        <w:ind w:right="-2"/>
        <w:rPr>
          <w:iCs/>
          <w:szCs w:val="22"/>
        </w:rPr>
      </w:pPr>
      <w:r>
        <w:t>Klirens leku i ekspozycja PK w przypadku fenfluraminy i norfenfluraminy pozostają spójne w szerokim zakresie wartości BMI (12,3–35 kg/m</w:t>
      </w:r>
      <w:r>
        <w:rPr>
          <w:vertAlign w:val="superscript"/>
        </w:rPr>
        <w:t>2</w:t>
      </w:r>
      <w:r>
        <w:t>).</w:t>
      </w:r>
    </w:p>
    <w:p w14:paraId="68D56FA5" w14:textId="77777777" w:rsidR="00132F98" w:rsidRDefault="00132F98">
      <w:pPr>
        <w:numPr>
          <w:ilvl w:val="12"/>
          <w:numId w:val="0"/>
        </w:numPr>
        <w:spacing w:line="240" w:lineRule="auto"/>
        <w:ind w:right="-2"/>
        <w:rPr>
          <w:iCs/>
          <w:noProof/>
          <w:szCs w:val="22"/>
        </w:rPr>
      </w:pPr>
    </w:p>
    <w:p w14:paraId="68D56FA6" w14:textId="77777777" w:rsidR="00132F98" w:rsidRDefault="00584E7E">
      <w:pPr>
        <w:numPr>
          <w:ilvl w:val="12"/>
          <w:numId w:val="0"/>
        </w:numPr>
        <w:spacing w:line="240" w:lineRule="auto"/>
        <w:ind w:right="-2"/>
        <w:rPr>
          <w:iCs/>
          <w:noProof/>
          <w:szCs w:val="22"/>
        </w:rPr>
      </w:pPr>
      <w:r>
        <w:rPr>
          <w:i/>
          <w:iCs/>
          <w:szCs w:val="22"/>
        </w:rPr>
        <w:t>Płeć</w:t>
      </w:r>
    </w:p>
    <w:p w14:paraId="68D56FA7" w14:textId="77777777" w:rsidR="00132F98" w:rsidRDefault="00584E7E">
      <w:pPr>
        <w:numPr>
          <w:ilvl w:val="12"/>
          <w:numId w:val="0"/>
        </w:numPr>
        <w:spacing w:line="240" w:lineRule="auto"/>
        <w:ind w:right="-2"/>
        <w:rPr>
          <w:iCs/>
          <w:noProof/>
          <w:szCs w:val="22"/>
        </w:rPr>
      </w:pPr>
      <w:r>
        <w:t>Farmakokinetyka fenfluraminy i norfenfluram</w:t>
      </w:r>
      <w:r>
        <w:t>iny była spójna u osób płci męskiej i żeńskiej.</w:t>
      </w:r>
    </w:p>
    <w:p w14:paraId="68D56FA8" w14:textId="77777777" w:rsidR="00132F98" w:rsidRDefault="00132F98">
      <w:pPr>
        <w:numPr>
          <w:ilvl w:val="12"/>
          <w:numId w:val="0"/>
        </w:numPr>
        <w:spacing w:line="240" w:lineRule="auto"/>
        <w:ind w:right="-2"/>
        <w:jc w:val="both"/>
        <w:rPr>
          <w:iCs/>
          <w:noProof/>
          <w:szCs w:val="22"/>
        </w:rPr>
      </w:pPr>
    </w:p>
    <w:p w14:paraId="68D56FA9" w14:textId="77777777" w:rsidR="00132F98" w:rsidRDefault="00584E7E">
      <w:pPr>
        <w:numPr>
          <w:ilvl w:val="12"/>
          <w:numId w:val="0"/>
        </w:numPr>
        <w:spacing w:line="240" w:lineRule="auto"/>
        <w:ind w:right="-2"/>
        <w:jc w:val="both"/>
        <w:rPr>
          <w:iCs/>
          <w:noProof/>
          <w:szCs w:val="22"/>
        </w:rPr>
      </w:pPr>
      <w:r>
        <w:rPr>
          <w:i/>
          <w:iCs/>
          <w:szCs w:val="22"/>
        </w:rPr>
        <w:lastRenderedPageBreak/>
        <w:t>Rasa</w:t>
      </w:r>
    </w:p>
    <w:p w14:paraId="68D56FAA" w14:textId="77777777" w:rsidR="00132F98" w:rsidRDefault="00584E7E">
      <w:pPr>
        <w:numPr>
          <w:ilvl w:val="12"/>
          <w:numId w:val="0"/>
        </w:numPr>
        <w:spacing w:line="240" w:lineRule="auto"/>
        <w:ind w:right="-2"/>
        <w:rPr>
          <w:i/>
          <w:iCs/>
          <w:noProof/>
          <w:szCs w:val="22"/>
        </w:rPr>
      </w:pPr>
      <w:r>
        <w:t>Ocena była ograniczona z powodu małej wielkości próby uczestników rasy innej niż biała, więc nie można wyciągnąć wniosków o wpływie rasy na farmakokinetykę. Polimorfizm genetyczny enzymów metabolizujący</w:t>
      </w:r>
      <w:r>
        <w:t>ch fenfluraminę jest podobny u wszystkich ras — różni się jedynie częstością występowania. W związku z tym, choć średnia ekspozycja może nieznacznie różnić się w zależności od rasy, oczekuje się, że zakres wartości ekspozycji będzie zbliżony.</w:t>
      </w:r>
    </w:p>
    <w:p w14:paraId="68D56FAB" w14:textId="77777777" w:rsidR="00132F98" w:rsidRDefault="00132F98">
      <w:pPr>
        <w:numPr>
          <w:ilvl w:val="12"/>
          <w:numId w:val="0"/>
        </w:numPr>
        <w:spacing w:line="240" w:lineRule="auto"/>
        <w:ind w:right="-2"/>
        <w:rPr>
          <w:iCs/>
          <w:noProof/>
          <w:szCs w:val="22"/>
        </w:rPr>
      </w:pPr>
    </w:p>
    <w:p w14:paraId="68D56FAC" w14:textId="77777777" w:rsidR="00132F98" w:rsidRDefault="00584E7E">
      <w:pPr>
        <w:spacing w:line="240" w:lineRule="auto"/>
        <w:ind w:left="567" w:hanging="567"/>
        <w:outlineLvl w:val="0"/>
        <w:rPr>
          <w:noProof/>
          <w:szCs w:val="22"/>
        </w:rPr>
      </w:pPr>
      <w:r>
        <w:rPr>
          <w:b/>
          <w:szCs w:val="22"/>
        </w:rPr>
        <w:t>5.3</w:t>
      </w:r>
      <w:r>
        <w:rPr>
          <w:b/>
          <w:szCs w:val="22"/>
        </w:rPr>
        <w:tab/>
        <w:t>Przedkli</w:t>
      </w:r>
      <w:r>
        <w:rPr>
          <w:b/>
          <w:szCs w:val="22"/>
        </w:rPr>
        <w:t>niczne dane o bezpieczeństwie</w:t>
      </w:r>
    </w:p>
    <w:p w14:paraId="68D56FAD" w14:textId="77777777" w:rsidR="00132F98" w:rsidRDefault="00132F98">
      <w:pPr>
        <w:spacing w:line="240" w:lineRule="auto"/>
        <w:rPr>
          <w:noProof/>
          <w:szCs w:val="22"/>
        </w:rPr>
      </w:pPr>
    </w:p>
    <w:p w14:paraId="68D56FAE" w14:textId="77777777" w:rsidR="00132F98" w:rsidRDefault="00584E7E">
      <w:pPr>
        <w:spacing w:line="240" w:lineRule="auto"/>
      </w:pPr>
      <w:r>
        <w:t>Dane niekliniczne, wynikające z konwencjonalnych badań farmakologicznych dotyczących bezpieczeństwa, badań toksyczności po podaniu wielokrotnym, genotoksyczności, rakotwórczości oraz toksycznego wpływu na reprodukcję i rozwój</w:t>
      </w:r>
      <w:r>
        <w:t>, nie ujawniają szczególnego zagrożenia dla człowieka.</w:t>
      </w:r>
    </w:p>
    <w:p w14:paraId="68D56FAF" w14:textId="77777777" w:rsidR="00132F98" w:rsidRDefault="00132F98">
      <w:pPr>
        <w:rPr>
          <w:rFonts w:eastAsia="TimesNewRoman"/>
        </w:rPr>
      </w:pPr>
    </w:p>
    <w:p w14:paraId="68D56FB0" w14:textId="77777777" w:rsidR="00132F98" w:rsidRDefault="00584E7E">
      <w:pPr>
        <w:rPr>
          <w:rFonts w:eastAsia="TimesNewRoman"/>
        </w:rPr>
      </w:pPr>
      <w:r>
        <w:rPr>
          <w:shd w:val="clear" w:color="auto" w:fill="FFFFFF"/>
        </w:rPr>
        <w:t xml:space="preserve">W badaniu wydzielania z mlekiem szczurom podawano doustnie radioznakowaną deksfenfluraminę w dawce 1,2 mg/kg mc. i w ciągu 24 godzin po podaniu pobierano próbki osocza oraz mleka. Po upływie 2 godzin </w:t>
      </w:r>
      <w:r>
        <w:rPr>
          <w:shd w:val="clear" w:color="auto" w:fill="FFFFFF"/>
        </w:rPr>
        <w:t>od podania w mleku stwierdzano obecność zarówno deksfenfluraminy, jak i nordeksfenfluraminy, których stężenia zmniejszały się w 24-godzinnym okresie. Po upływie 24 godzin w mleku nie stwierdzano obecności deksfenfluraminy. Po upływie 24 godzin nordeksfenfl</w:t>
      </w:r>
      <w:r>
        <w:rPr>
          <w:shd w:val="clear" w:color="auto" w:fill="FFFFFF"/>
        </w:rPr>
        <w:t xml:space="preserve">uramina występowała w niewielkim stężeniu. </w:t>
      </w:r>
      <w:r>
        <w:t xml:space="preserve">Stosunek radioaktywności mleko:osocze wynosił 9 ± 2 po 2 godzinach oraz 5 ± 1 po 24 godzinach. </w:t>
      </w:r>
      <w:r>
        <w:rPr>
          <w:shd w:val="clear" w:color="auto" w:fill="FFFFFF"/>
        </w:rPr>
        <w:t>Na podstawie porównania masy ciała dawka równoważna u ludzi (0,2 mg/kg mc. deksfenfluraminy) jest mniejsza od maksymal</w:t>
      </w:r>
      <w:r>
        <w:rPr>
          <w:shd w:val="clear" w:color="auto" w:fill="FFFFFF"/>
        </w:rPr>
        <w:t>nej zalecanej u ludzi dawki produktu Fintepla.</w:t>
      </w:r>
    </w:p>
    <w:p w14:paraId="68D56FB1" w14:textId="77777777" w:rsidR="00132F98" w:rsidRDefault="00132F98">
      <w:pPr>
        <w:rPr>
          <w:rFonts w:eastAsia="TimesNewRoman"/>
        </w:rPr>
      </w:pPr>
    </w:p>
    <w:p w14:paraId="68D56FB2" w14:textId="77777777" w:rsidR="00132F98" w:rsidRDefault="00584E7E">
      <w:pPr>
        <w:rPr>
          <w:rFonts w:eastAsia="TimesNewRoman"/>
          <w:bCs/>
          <w:u w:val="single"/>
        </w:rPr>
      </w:pPr>
      <w:r>
        <w:rPr>
          <w:bCs/>
          <w:u w:val="single"/>
        </w:rPr>
        <w:t>Reprodukcja i rozwój</w:t>
      </w:r>
    </w:p>
    <w:p w14:paraId="68D56FB3" w14:textId="77777777" w:rsidR="00132F98" w:rsidRDefault="00132F98">
      <w:pPr>
        <w:rPr>
          <w:rFonts w:eastAsia="TimesNewRoman"/>
          <w:b/>
          <w:color w:val="000000"/>
        </w:rPr>
      </w:pPr>
    </w:p>
    <w:p w14:paraId="68D56FB4" w14:textId="77777777" w:rsidR="00132F98" w:rsidRDefault="00584E7E">
      <w:pPr>
        <w:rPr>
          <w:rFonts w:eastAsia="TimesNewRoman"/>
        </w:rPr>
      </w:pPr>
      <w:r>
        <w:t>Po podaniu fenfluraminy ciężarnym samicom szczura i królika wykazano toksyczność rozwojową, w przypadku dawek powodujących wystąpienie toksyczności matczynej.</w:t>
      </w:r>
    </w:p>
    <w:p w14:paraId="68D56FB5" w14:textId="77777777" w:rsidR="00132F98" w:rsidRDefault="00132F98">
      <w:pPr>
        <w:rPr>
          <w:rFonts w:eastAsia="TimesNewRoman"/>
        </w:rPr>
      </w:pPr>
    </w:p>
    <w:p w14:paraId="68D56FB6" w14:textId="77777777" w:rsidR="00132F98" w:rsidRDefault="00584E7E">
      <w:pPr>
        <w:rPr>
          <w:rFonts w:eastAsia="TimesNewRoman"/>
        </w:rPr>
      </w:pPr>
      <w:r>
        <w:t xml:space="preserve">W badaniu rozwoju </w:t>
      </w:r>
      <w:r>
        <w:t xml:space="preserve">zarodkowo-płodowego u szczurów stwierdzono zmniejszenie masy ciała płodu i zwiększenie częstości występowania zewnętrznych wad rozwojowych oraz wad rozwojowych szkieletu w przypadku zastosowania dużych dawek i wyłącznie w związku z toksycznością matczyną. </w:t>
      </w:r>
      <w:r>
        <w:t>Średnia dawka, w przypadku której nie występowały żadne zaburzenia rozwoju płodu, wiązała się z wartościami stężenia w osoczu (AUC), pięciokrotnie wyższymi u człowieka przy zastosowaniu maksymalnej zalecanej u ludzi dawki produktu Fintepla.</w:t>
      </w:r>
    </w:p>
    <w:p w14:paraId="68D56FB7" w14:textId="77777777" w:rsidR="00132F98" w:rsidRDefault="00132F98">
      <w:pPr>
        <w:rPr>
          <w:rFonts w:eastAsia="TimesNewRoman"/>
        </w:rPr>
      </w:pPr>
    </w:p>
    <w:p w14:paraId="68D56FB8" w14:textId="77777777" w:rsidR="00132F98" w:rsidRDefault="00584E7E">
      <w:pPr>
        <w:rPr>
          <w:rFonts w:eastAsia="TimesNewRoman"/>
        </w:rPr>
      </w:pPr>
      <w:r>
        <w:t xml:space="preserve">W </w:t>
      </w:r>
      <w:r>
        <w:t>badaniu rozwoju zarodkowo-płodowego u królików skutki działania fenfluraminy obejmowały zwiększenie resorpcji, powodujące zwiększoną częstość utraty ciąży po zagnieżdżeniu zarodka, co następowało w przypadku wszystkich dawek wtórnie do pojawienia się toksy</w:t>
      </w:r>
      <w:r>
        <w:t>czności matczynej na skutek fenfluraminy (zmniejszenie masy ciała i zmniejszone pobieranie pokarmu). Obserwowano dodatkowe objawy kliniczne: rozszerzenie źrenic, zwiększoną częstość oddechu i drżenie. W przypadku żadnej z dawek nie występowały związane z f</w:t>
      </w:r>
      <w:r>
        <w:t>enfluraminą zewnętrzne, narządowe ani szkieletowe wady rozwojowe czy zaburzenia. Mała dawka, powodująca toksyczność matczyną i utratę ciąży po zagnieżdżeniu zarodka, wiązała się z wartościami stężenia w osoczu (AUC) niższymi niż u człowieka po zastosowaniu</w:t>
      </w:r>
      <w:r>
        <w:t xml:space="preserve"> maksymalnej zalecanej u ludzi dawki produktu Fintepla.</w:t>
      </w:r>
    </w:p>
    <w:p w14:paraId="68D56FB9" w14:textId="77777777" w:rsidR="00132F98" w:rsidRDefault="00132F98">
      <w:pPr>
        <w:rPr>
          <w:rFonts w:eastAsia="TimesNewRoman"/>
        </w:rPr>
      </w:pPr>
    </w:p>
    <w:p w14:paraId="68D56FBA" w14:textId="77777777" w:rsidR="00132F98" w:rsidRDefault="00584E7E">
      <w:pPr>
        <w:rPr>
          <w:rFonts w:eastAsia="TimesNewRoman"/>
        </w:rPr>
      </w:pPr>
      <w:r>
        <w:t>W badaniach rozwoju zarodkowo-płodowego u szczurów i królików fenfluramina i norfenfluramina przenikały przez łożysko. Wartości stężenia w osoczu płodów szczurów były większe niż stężenie u matek, na</w:t>
      </w:r>
      <w:r>
        <w:t>tomiast wartości stężenia u królików były porównywalne pod względem stężenia u matek i płodów. Nie jest jednak znany wpływ na płód człowieka.</w:t>
      </w:r>
    </w:p>
    <w:p w14:paraId="68D56FBB" w14:textId="77777777" w:rsidR="00132F98" w:rsidRDefault="00132F98">
      <w:pPr>
        <w:rPr>
          <w:rFonts w:eastAsia="TimesNewRoman"/>
        </w:rPr>
      </w:pPr>
    </w:p>
    <w:p w14:paraId="68D56FBC" w14:textId="77777777" w:rsidR="00132F98" w:rsidRDefault="00584E7E">
      <w:pPr>
        <w:rPr>
          <w:rFonts w:eastAsia="TimesNewRoman"/>
        </w:rPr>
      </w:pPr>
      <w:r>
        <w:t>W badaniach przed- i pourodzeniowych u szczurów w przypadku dużych dawek toksyczność matczyna wiązała się ze zwię</w:t>
      </w:r>
      <w:r>
        <w:t>kszoną częstością poronień. Średnia dawka, bez szkodliwego wpływu na pokolenia F</w:t>
      </w:r>
      <w:r>
        <w:rPr>
          <w:vertAlign w:val="subscript"/>
        </w:rPr>
        <w:t>0</w:t>
      </w:r>
      <w:r>
        <w:t xml:space="preserve"> i F</w:t>
      </w:r>
      <w:r>
        <w:rPr>
          <w:vertAlign w:val="subscript"/>
        </w:rPr>
        <w:t>1</w:t>
      </w:r>
      <w:r>
        <w:t>, wiązała się z wartościami stężenia w osoczu (AUC) pięciokrotnie wyższymi niż u człowieka po zastosowaniu maksymalnej zalecanej u ludzi dawki produktu Fintepla. W pierws</w:t>
      </w:r>
      <w:r>
        <w:t>zym pokoleniu potomstwa nie stwierdzono oddziaływania na ogólne funkcje rozrodcze.</w:t>
      </w:r>
    </w:p>
    <w:p w14:paraId="68D56FBD" w14:textId="77777777" w:rsidR="00132F98" w:rsidRDefault="00132F98">
      <w:pPr>
        <w:rPr>
          <w:rFonts w:eastAsia="TimesNewRoman"/>
        </w:rPr>
      </w:pPr>
    </w:p>
    <w:p w14:paraId="68D56FBE" w14:textId="77777777" w:rsidR="00132F98" w:rsidRDefault="00584E7E">
      <w:pPr>
        <w:rPr>
          <w:rFonts w:eastAsia="TimesNewRoman"/>
        </w:rPr>
      </w:pPr>
      <w:r>
        <w:t>Badania płodności i wczesnego rozwoju zarodkowego u szczurów nie wykazały wpływu na płodność samców w warunkach in vivo. U samic zaobserwowano spadek wskaźnika płodności (d</w:t>
      </w:r>
      <w:r>
        <w:t>efiniowanego jako odsetek krycia skutkujący ciążą), związany — jak uznano — ze skutkami występującymi u samic. Obserwowano zmniejszoną liczbę ciałek żółtych, znacznie zmniejszoną liczbę miejsc zagnieżdżenia oraz wyższy odsetek utraty ciąży przed zagnieżdże</w:t>
      </w:r>
      <w:r>
        <w:t>niem i po zagnieżdżeniu zarodka. Spadek wskaźnika płodności występował w przypadku dawek powodujących toksyczność matczyną. Mała dawka, przy której nie odnotowano wpływu na wskaźnik płodności, związana była z wartościami stężenia w osoczu (AUC) prawie taki</w:t>
      </w:r>
      <w:r>
        <w:t>mi samymi jak u ludzi przy maksymalnej zalecanej u ludzi dawce produktu Fintepla.</w:t>
      </w:r>
    </w:p>
    <w:p w14:paraId="68D56FBF" w14:textId="77777777" w:rsidR="00132F98" w:rsidRDefault="00132F98">
      <w:pPr>
        <w:spacing w:line="240" w:lineRule="auto"/>
        <w:rPr>
          <w:noProof/>
          <w:szCs w:val="22"/>
        </w:rPr>
      </w:pPr>
    </w:p>
    <w:p w14:paraId="68D56FC0" w14:textId="77777777" w:rsidR="00132F98" w:rsidRDefault="00132F98">
      <w:pPr>
        <w:spacing w:line="240" w:lineRule="auto"/>
        <w:rPr>
          <w:noProof/>
          <w:szCs w:val="22"/>
        </w:rPr>
      </w:pPr>
    </w:p>
    <w:p w14:paraId="68D56FC1" w14:textId="77777777" w:rsidR="00132F98" w:rsidRDefault="00584E7E">
      <w:pPr>
        <w:keepNext/>
        <w:keepLines/>
        <w:suppressAutoHyphens/>
        <w:ind w:left="567" w:hanging="567"/>
        <w:rPr>
          <w:b/>
          <w:noProof/>
        </w:rPr>
      </w:pPr>
      <w:r>
        <w:rPr>
          <w:b/>
        </w:rPr>
        <w:t>6.</w:t>
      </w:r>
      <w:r>
        <w:rPr>
          <w:b/>
        </w:rPr>
        <w:tab/>
        <w:t>DANE FARMACEUTYCZNE</w:t>
      </w:r>
    </w:p>
    <w:p w14:paraId="68D56FC2" w14:textId="77777777" w:rsidR="00132F98" w:rsidRDefault="00132F98">
      <w:pPr>
        <w:keepNext/>
        <w:keepLines/>
        <w:rPr>
          <w:noProof/>
        </w:rPr>
      </w:pPr>
    </w:p>
    <w:p w14:paraId="68D56FC3" w14:textId="77777777" w:rsidR="00132F98" w:rsidRDefault="00584E7E">
      <w:pPr>
        <w:keepNext/>
        <w:keepLines/>
        <w:ind w:left="567" w:hanging="567"/>
        <w:outlineLvl w:val="0"/>
        <w:rPr>
          <w:noProof/>
        </w:rPr>
      </w:pPr>
      <w:r>
        <w:rPr>
          <w:b/>
        </w:rPr>
        <w:t>6.1</w:t>
      </w:r>
      <w:r>
        <w:rPr>
          <w:b/>
        </w:rPr>
        <w:tab/>
        <w:t>Wykaz substancji pomocniczych</w:t>
      </w:r>
    </w:p>
    <w:p w14:paraId="68D56FC4" w14:textId="77777777" w:rsidR="00132F98" w:rsidRDefault="00132F98">
      <w:pPr>
        <w:rPr>
          <w:i/>
          <w:noProof/>
        </w:rPr>
      </w:pPr>
    </w:p>
    <w:p w14:paraId="68D56FC5" w14:textId="77777777" w:rsidR="00132F98" w:rsidRDefault="00584E7E">
      <w:pPr>
        <w:rPr>
          <w:color w:val="000000"/>
        </w:rPr>
      </w:pPr>
      <w:r>
        <w:t>Sól sodowa parahydroksybenzoesanu etylu (E 215)</w:t>
      </w:r>
    </w:p>
    <w:p w14:paraId="68D56FC6" w14:textId="77777777" w:rsidR="00132F98" w:rsidRDefault="00584E7E">
      <w:pPr>
        <w:autoSpaceDE w:val="0"/>
        <w:autoSpaceDN w:val="0"/>
        <w:adjustRightInd w:val="0"/>
      </w:pPr>
      <w:r>
        <w:t>Sól sodowa parahydroksybenzoesanu metylu (E 219)</w:t>
      </w:r>
    </w:p>
    <w:p w14:paraId="68D56FC7" w14:textId="77777777" w:rsidR="00132F98" w:rsidRDefault="00584E7E">
      <w:pPr>
        <w:rPr>
          <w:color w:val="000000"/>
          <w:lang w:val="it-IT"/>
        </w:rPr>
      </w:pPr>
      <w:proofErr w:type="spellStart"/>
      <w:r>
        <w:rPr>
          <w:color w:val="000000"/>
          <w:lang w:val="it-IT"/>
        </w:rPr>
        <w:t>Sukraloza</w:t>
      </w:r>
      <w:proofErr w:type="spellEnd"/>
      <w:r>
        <w:rPr>
          <w:color w:val="000000"/>
          <w:lang w:val="it-IT"/>
        </w:rPr>
        <w:t xml:space="preserve"> (E 955</w:t>
      </w:r>
      <w:r>
        <w:rPr>
          <w:color w:val="000000"/>
          <w:lang w:val="it-IT"/>
        </w:rPr>
        <w:t>)</w:t>
      </w:r>
    </w:p>
    <w:p w14:paraId="68D56FC8" w14:textId="77777777" w:rsidR="00132F98" w:rsidRDefault="00584E7E">
      <w:pPr>
        <w:rPr>
          <w:color w:val="000000"/>
          <w:lang w:val="it-IT"/>
        </w:rPr>
      </w:pPr>
      <w:proofErr w:type="spellStart"/>
      <w:r>
        <w:rPr>
          <w:color w:val="000000"/>
          <w:lang w:val="it-IT"/>
        </w:rPr>
        <w:t>Hydroksyetyloceluloza</w:t>
      </w:r>
      <w:proofErr w:type="spellEnd"/>
      <w:r>
        <w:rPr>
          <w:color w:val="000000"/>
          <w:lang w:val="it-IT"/>
        </w:rPr>
        <w:t xml:space="preserve"> (E 1525)</w:t>
      </w:r>
    </w:p>
    <w:p w14:paraId="68D56FC9" w14:textId="77777777" w:rsidR="00132F98" w:rsidRDefault="00584E7E">
      <w:pPr>
        <w:rPr>
          <w:color w:val="000000"/>
          <w:lang w:val="it-IT"/>
        </w:rPr>
      </w:pPr>
      <w:proofErr w:type="spellStart"/>
      <w:r>
        <w:rPr>
          <w:color w:val="000000"/>
          <w:lang w:val="it-IT"/>
        </w:rPr>
        <w:t>Monosodu</w:t>
      </w:r>
      <w:proofErr w:type="spellEnd"/>
      <w:r>
        <w:rPr>
          <w:color w:val="000000"/>
          <w:lang w:val="it-IT"/>
        </w:rPr>
        <w:t xml:space="preserve"> </w:t>
      </w:r>
      <w:proofErr w:type="spellStart"/>
      <w:r>
        <w:rPr>
          <w:color w:val="000000"/>
          <w:lang w:val="it-IT"/>
        </w:rPr>
        <w:t>fosforan</w:t>
      </w:r>
      <w:proofErr w:type="spellEnd"/>
      <w:r>
        <w:rPr>
          <w:color w:val="000000"/>
          <w:lang w:val="it-IT"/>
        </w:rPr>
        <w:t xml:space="preserve"> (E 339)</w:t>
      </w:r>
    </w:p>
    <w:p w14:paraId="68D56FCA" w14:textId="77777777" w:rsidR="00132F98" w:rsidRDefault="00584E7E">
      <w:pPr>
        <w:rPr>
          <w:color w:val="000000"/>
        </w:rPr>
      </w:pPr>
      <w:r>
        <w:rPr>
          <w:color w:val="000000"/>
        </w:rPr>
        <w:t>Disodu fosforan (E 339)</w:t>
      </w:r>
    </w:p>
    <w:p w14:paraId="68D56FCB" w14:textId="77777777" w:rsidR="00132F98" w:rsidRDefault="00584E7E">
      <w:pPr>
        <w:rPr>
          <w:color w:val="000000"/>
        </w:rPr>
      </w:pPr>
      <w:r>
        <w:rPr>
          <w:color w:val="000000"/>
        </w:rPr>
        <w:t>Aromat wiśniowy w proszku:</w:t>
      </w:r>
    </w:p>
    <w:p w14:paraId="68D56FCC" w14:textId="77777777" w:rsidR="00132F98" w:rsidRDefault="00584E7E">
      <w:pPr>
        <w:ind w:left="567"/>
        <w:rPr>
          <w:color w:val="000000"/>
        </w:rPr>
      </w:pPr>
      <w:r>
        <w:rPr>
          <w:color w:val="000000"/>
        </w:rPr>
        <w:t>Guma arabska (E 414)</w:t>
      </w:r>
    </w:p>
    <w:p w14:paraId="68D56FCD" w14:textId="77777777" w:rsidR="00132F98" w:rsidRDefault="00584E7E">
      <w:pPr>
        <w:ind w:left="567"/>
        <w:rPr>
          <w:color w:val="000000"/>
        </w:rPr>
      </w:pPr>
      <w:r>
        <w:rPr>
          <w:color w:val="000000"/>
        </w:rPr>
        <w:t>Glukoza (z kukurydzy)</w:t>
      </w:r>
    </w:p>
    <w:p w14:paraId="68D56FCE" w14:textId="77777777" w:rsidR="00132F98" w:rsidRDefault="00584E7E">
      <w:pPr>
        <w:ind w:left="567"/>
        <w:rPr>
          <w:color w:val="000000"/>
        </w:rPr>
      </w:pPr>
      <w:r>
        <w:rPr>
          <w:color w:val="000000"/>
        </w:rPr>
        <w:t>Etylu benzoesan</w:t>
      </w:r>
    </w:p>
    <w:p w14:paraId="68D56FCF" w14:textId="77777777" w:rsidR="00132F98" w:rsidRDefault="00584E7E">
      <w:pPr>
        <w:ind w:left="567"/>
        <w:rPr>
          <w:color w:val="000000"/>
        </w:rPr>
      </w:pPr>
      <w:r>
        <w:rPr>
          <w:color w:val="000000"/>
        </w:rPr>
        <w:t>Naturalne preparaty aromatyzujące</w:t>
      </w:r>
    </w:p>
    <w:p w14:paraId="68D56FD0" w14:textId="77777777" w:rsidR="00132F98" w:rsidRDefault="00584E7E">
      <w:pPr>
        <w:ind w:left="567"/>
        <w:rPr>
          <w:color w:val="000000"/>
        </w:rPr>
      </w:pPr>
      <w:r>
        <w:rPr>
          <w:color w:val="000000"/>
        </w:rPr>
        <w:t>Naturalne substancje aromatyzujące</w:t>
      </w:r>
    </w:p>
    <w:p w14:paraId="68D56FD1" w14:textId="77777777" w:rsidR="00132F98" w:rsidRDefault="00584E7E">
      <w:pPr>
        <w:ind w:left="567"/>
        <w:rPr>
          <w:color w:val="000000"/>
        </w:rPr>
      </w:pPr>
      <w:r>
        <w:rPr>
          <w:color w:val="000000"/>
        </w:rPr>
        <w:t>Substancje aromatyzujące</w:t>
      </w:r>
    </w:p>
    <w:p w14:paraId="68D56FD2" w14:textId="77777777" w:rsidR="00132F98" w:rsidRDefault="00584E7E">
      <w:pPr>
        <w:ind w:left="567"/>
        <w:rPr>
          <w:color w:val="000000"/>
        </w:rPr>
      </w:pPr>
      <w:r>
        <w:rPr>
          <w:color w:val="000000"/>
        </w:rPr>
        <w:t>Maltodekstryna (z kukurydzy)</w:t>
      </w:r>
    </w:p>
    <w:p w14:paraId="68D56FD3" w14:textId="77777777" w:rsidR="00132F98" w:rsidRDefault="00584E7E">
      <w:pPr>
        <w:ind w:left="567"/>
        <w:rPr>
          <w:color w:val="000000"/>
        </w:rPr>
      </w:pPr>
      <w:r>
        <w:rPr>
          <w:color w:val="000000"/>
        </w:rPr>
        <w:t>Siarki dwutlenek (E 220)</w:t>
      </w:r>
    </w:p>
    <w:p w14:paraId="68D56FD4" w14:textId="77777777" w:rsidR="00132F98" w:rsidRDefault="00584E7E">
      <w:r>
        <w:t>Potasu cytrynian (E 332)</w:t>
      </w:r>
    </w:p>
    <w:p w14:paraId="68D56FD5" w14:textId="77777777" w:rsidR="00132F98" w:rsidRDefault="00584E7E">
      <w:pPr>
        <w:rPr>
          <w:color w:val="000000"/>
        </w:rPr>
      </w:pPr>
      <w:r>
        <w:rPr>
          <w:color w:val="000000"/>
        </w:rPr>
        <w:t>Kwas cytrynowy jednowodny (E 330)</w:t>
      </w:r>
    </w:p>
    <w:p w14:paraId="68D56FD6" w14:textId="77777777" w:rsidR="00132F98" w:rsidRDefault="00584E7E">
      <w:r>
        <w:rPr>
          <w:color w:val="000000"/>
        </w:rPr>
        <w:t>Woda do wstrzykiwań</w:t>
      </w:r>
    </w:p>
    <w:p w14:paraId="68D56FD7" w14:textId="77777777" w:rsidR="00132F98" w:rsidRDefault="00132F98">
      <w:pPr>
        <w:spacing w:line="240" w:lineRule="auto"/>
        <w:rPr>
          <w:noProof/>
          <w:szCs w:val="22"/>
        </w:rPr>
      </w:pPr>
    </w:p>
    <w:p w14:paraId="68D56FD8" w14:textId="77777777" w:rsidR="00132F98" w:rsidRDefault="00584E7E">
      <w:pPr>
        <w:spacing w:line="240" w:lineRule="auto"/>
        <w:ind w:left="567" w:hanging="567"/>
        <w:outlineLvl w:val="0"/>
        <w:rPr>
          <w:noProof/>
          <w:szCs w:val="22"/>
        </w:rPr>
      </w:pPr>
      <w:r>
        <w:rPr>
          <w:b/>
          <w:szCs w:val="22"/>
        </w:rPr>
        <w:t>6.2</w:t>
      </w:r>
      <w:r>
        <w:rPr>
          <w:b/>
          <w:szCs w:val="22"/>
        </w:rPr>
        <w:tab/>
        <w:t>Niezgodności farmaceutyczne</w:t>
      </w:r>
    </w:p>
    <w:p w14:paraId="68D56FD9" w14:textId="77777777" w:rsidR="00132F98" w:rsidRDefault="00132F98">
      <w:pPr>
        <w:spacing w:line="240" w:lineRule="auto"/>
        <w:rPr>
          <w:noProof/>
          <w:szCs w:val="22"/>
        </w:rPr>
      </w:pPr>
    </w:p>
    <w:p w14:paraId="68D56FDA" w14:textId="77777777" w:rsidR="00132F98" w:rsidRDefault="00584E7E">
      <w:pPr>
        <w:spacing w:line="240" w:lineRule="auto"/>
        <w:rPr>
          <w:noProof/>
          <w:szCs w:val="22"/>
        </w:rPr>
      </w:pPr>
      <w:r>
        <w:t>Nie dotyczy.</w:t>
      </w:r>
    </w:p>
    <w:p w14:paraId="68D56FDB" w14:textId="77777777" w:rsidR="00132F98" w:rsidRDefault="00132F98">
      <w:pPr>
        <w:spacing w:line="240" w:lineRule="auto"/>
        <w:rPr>
          <w:noProof/>
          <w:szCs w:val="22"/>
        </w:rPr>
      </w:pPr>
    </w:p>
    <w:p w14:paraId="68D56FDC" w14:textId="77777777" w:rsidR="00132F98" w:rsidRDefault="00584E7E">
      <w:pPr>
        <w:spacing w:line="240" w:lineRule="auto"/>
        <w:ind w:left="567" w:hanging="567"/>
        <w:outlineLvl w:val="0"/>
        <w:rPr>
          <w:noProof/>
          <w:szCs w:val="22"/>
        </w:rPr>
      </w:pPr>
      <w:r>
        <w:rPr>
          <w:b/>
          <w:szCs w:val="22"/>
        </w:rPr>
        <w:t>6.3</w:t>
      </w:r>
      <w:r>
        <w:rPr>
          <w:b/>
          <w:szCs w:val="22"/>
        </w:rPr>
        <w:tab/>
        <w:t>Okres ważności</w:t>
      </w:r>
    </w:p>
    <w:p w14:paraId="68D56FDD" w14:textId="77777777" w:rsidR="00132F98" w:rsidRDefault="00132F98">
      <w:pPr>
        <w:spacing w:line="240" w:lineRule="auto"/>
        <w:rPr>
          <w:noProof/>
          <w:szCs w:val="22"/>
        </w:rPr>
      </w:pPr>
    </w:p>
    <w:p w14:paraId="68D56FDE" w14:textId="77777777" w:rsidR="00132F98" w:rsidRDefault="00584E7E">
      <w:r>
        <w:t>4 lata.</w:t>
      </w:r>
    </w:p>
    <w:p w14:paraId="68D56FDF" w14:textId="77777777" w:rsidR="00132F98" w:rsidRDefault="00132F98"/>
    <w:p w14:paraId="68D56FE0" w14:textId="77777777" w:rsidR="00132F98" w:rsidRDefault="00584E7E">
      <w:pPr>
        <w:keepNext/>
        <w:rPr>
          <w:u w:val="single"/>
        </w:rPr>
      </w:pPr>
      <w:r>
        <w:rPr>
          <w:u w:val="single"/>
        </w:rPr>
        <w:t xml:space="preserve">Okres </w:t>
      </w:r>
      <w:r>
        <w:rPr>
          <w:u w:val="single"/>
        </w:rPr>
        <w:t>ważności po pierwszym otwarciu</w:t>
      </w:r>
    </w:p>
    <w:p w14:paraId="68D56FE1" w14:textId="77777777" w:rsidR="00132F98" w:rsidRDefault="00132F98">
      <w:pPr>
        <w:keepNext/>
      </w:pPr>
    </w:p>
    <w:p w14:paraId="68D56FE2" w14:textId="77777777" w:rsidR="00132F98" w:rsidRDefault="00584E7E">
      <w:pPr>
        <w:rPr>
          <w:noProof/>
        </w:rPr>
      </w:pPr>
      <w:r>
        <w:t>Produkt leczniczy należy zużyć w ciągu 3 miesięcy po pierwszym otwarciu butelki.</w:t>
      </w:r>
    </w:p>
    <w:p w14:paraId="68D56FE3" w14:textId="77777777" w:rsidR="00132F98" w:rsidRDefault="00132F98">
      <w:pPr>
        <w:spacing w:line="240" w:lineRule="auto"/>
        <w:rPr>
          <w:noProof/>
          <w:szCs w:val="22"/>
        </w:rPr>
      </w:pPr>
    </w:p>
    <w:p w14:paraId="68D56FE4" w14:textId="77777777" w:rsidR="00132F98" w:rsidRDefault="00584E7E">
      <w:pPr>
        <w:keepNext/>
        <w:spacing w:line="240" w:lineRule="auto"/>
        <w:ind w:left="567" w:hanging="567"/>
        <w:outlineLvl w:val="0"/>
        <w:rPr>
          <w:b/>
          <w:noProof/>
          <w:szCs w:val="22"/>
        </w:rPr>
      </w:pPr>
      <w:r>
        <w:rPr>
          <w:b/>
          <w:szCs w:val="22"/>
        </w:rPr>
        <w:t>6.4</w:t>
      </w:r>
      <w:r>
        <w:rPr>
          <w:b/>
          <w:szCs w:val="22"/>
        </w:rPr>
        <w:tab/>
        <w:t>Specjalne środki ostrożności podczas przechowywania</w:t>
      </w:r>
    </w:p>
    <w:p w14:paraId="68D56FE5" w14:textId="77777777" w:rsidR="00132F98" w:rsidRDefault="00132F98">
      <w:pPr>
        <w:spacing w:line="240" w:lineRule="auto"/>
        <w:ind w:left="567" w:hanging="567"/>
        <w:outlineLvl w:val="0"/>
        <w:rPr>
          <w:noProof/>
          <w:szCs w:val="22"/>
        </w:rPr>
      </w:pPr>
    </w:p>
    <w:p w14:paraId="68D56FE6" w14:textId="77777777" w:rsidR="00132F98" w:rsidRDefault="00584E7E">
      <w:r>
        <w:t>Brak specjalnych zaleceń dotyczących przechowywania produktu leczniczego. Nie przecho</w:t>
      </w:r>
      <w:r>
        <w:t>wywać w lodówce ani nie zamrażać.</w:t>
      </w:r>
    </w:p>
    <w:p w14:paraId="68D56FE7" w14:textId="77777777" w:rsidR="00132F98" w:rsidRDefault="00132F98">
      <w:pPr>
        <w:spacing w:line="240" w:lineRule="auto"/>
        <w:rPr>
          <w:noProof/>
          <w:szCs w:val="22"/>
        </w:rPr>
      </w:pPr>
    </w:p>
    <w:p w14:paraId="68D56FE8" w14:textId="77777777" w:rsidR="00132F98" w:rsidRDefault="00584E7E">
      <w:pPr>
        <w:ind w:left="567" w:hanging="567"/>
        <w:outlineLvl w:val="0"/>
        <w:rPr>
          <w:b/>
          <w:bCs/>
          <w:noProof/>
        </w:rPr>
      </w:pPr>
      <w:r>
        <w:rPr>
          <w:b/>
          <w:bCs/>
        </w:rPr>
        <w:t>6.5</w:t>
      </w:r>
      <w:r>
        <w:rPr>
          <w:b/>
        </w:rPr>
        <w:tab/>
      </w:r>
      <w:r>
        <w:rPr>
          <w:b/>
          <w:bCs/>
        </w:rPr>
        <w:t>Rodzaj i zawartość opakowania</w:t>
      </w:r>
    </w:p>
    <w:p w14:paraId="68D56FE9" w14:textId="77777777" w:rsidR="00132F98" w:rsidRDefault="00132F98">
      <w:pPr>
        <w:ind w:left="567" w:hanging="567"/>
        <w:outlineLvl w:val="0"/>
        <w:rPr>
          <w:b/>
        </w:rPr>
      </w:pPr>
    </w:p>
    <w:p w14:paraId="68D56FEA" w14:textId="77777777" w:rsidR="00132F98" w:rsidRDefault="00584E7E">
      <w:r>
        <w:t xml:space="preserve">Produkt Fintepla jest dostarczany w białej butelce wykonanej z polietylenu wysokiej gęstości (HDPE), wyposażonej w zakrętkę zabezpieczającą przed otwarciem przez dzieci i z elementem plombującym, </w:t>
      </w:r>
      <w:r>
        <w:lastRenderedPageBreak/>
        <w:t>umieszczonej w pudełku tekturowym wraz z wciskanym adapterem</w:t>
      </w:r>
      <w:r>
        <w:t xml:space="preserve"> do butelki wykonanym z polietylenu niskiej gęstości (LDPE) oraz strzykawkami doustnymi wykonanymi z polipropylenu (PP)/HDPE. Dołączoną do opakowania strzykawkę doustną należy używać do podawania przepisanej dawki.</w:t>
      </w:r>
    </w:p>
    <w:p w14:paraId="68D56FEB" w14:textId="77777777" w:rsidR="00132F98" w:rsidRDefault="00132F98"/>
    <w:p w14:paraId="68D56FEC" w14:textId="77777777" w:rsidR="00132F98" w:rsidRDefault="00584E7E">
      <w:r>
        <w:rPr>
          <w:u w:val="single"/>
        </w:rPr>
        <w:t>Zawartość opakowania</w:t>
      </w:r>
      <w:r>
        <w:t>:</w:t>
      </w:r>
    </w:p>
    <w:p w14:paraId="68D56FED" w14:textId="77777777" w:rsidR="00132F98" w:rsidRDefault="00132F98"/>
    <w:p w14:paraId="68D56FEE" w14:textId="77777777" w:rsidR="00132F98" w:rsidRDefault="00584E7E">
      <w:r>
        <w:t>Butelka zawierają</w:t>
      </w:r>
      <w:r>
        <w:t>ca 60 ml roztworu doustnego, adapter do butelki, dwie strzykawki doustne o pojemności 3 ml z podziałką co 0,1 ml oraz dwie strzykawki o pojemności 6 ml z podziałką co 0,2 ml.</w:t>
      </w:r>
    </w:p>
    <w:p w14:paraId="68D56FEF" w14:textId="77777777" w:rsidR="00132F98" w:rsidRDefault="00584E7E">
      <w:r>
        <w:t>Butelka zawierająca 120 ml roztworu doustnego, adapter do butelki, dwie strzykawk</w:t>
      </w:r>
      <w:r>
        <w:t>i doustne o pojemności 3 ml z podziałką co 0,1 ml oraz dwie strzykawki o pojemności 6 ml z podziałką co 0,2 ml.</w:t>
      </w:r>
    </w:p>
    <w:p w14:paraId="68D56FF0" w14:textId="77777777" w:rsidR="00132F98" w:rsidRDefault="00584E7E">
      <w:r>
        <w:t>Butelka zawierająca 250 ml roztworu doustnego, adapter do butelki, dwie strzykawki doustne o pojemności 3 ml z podziałką co 0,1 ml oraz dwie str</w:t>
      </w:r>
      <w:r>
        <w:t>zykawki o pojemności 6 ml z podziałką co 0,2 ml.</w:t>
      </w:r>
    </w:p>
    <w:p w14:paraId="68D56FF1" w14:textId="77777777" w:rsidR="00132F98" w:rsidRDefault="00584E7E">
      <w:r>
        <w:t>Butelka zawierająca 360 ml roztworu doustnego, adapter do butelki, dwie strzykawki doustne o pojemności 3 ml z podziałką co 0,1 ml oraz dwie strzykawki o pojemności 6 ml z podziałką co 0,2 ml.</w:t>
      </w:r>
    </w:p>
    <w:p w14:paraId="68D56FF2" w14:textId="77777777" w:rsidR="00132F98" w:rsidRDefault="00132F98"/>
    <w:p w14:paraId="68D56FF3" w14:textId="77777777" w:rsidR="00132F98" w:rsidRDefault="00584E7E">
      <w:pPr>
        <w:rPr>
          <w:noProof/>
        </w:rPr>
      </w:pPr>
      <w:r>
        <w:t>Nie wszystkie</w:t>
      </w:r>
      <w:r>
        <w:t xml:space="preserve"> wielkości opakowań muszą znajdować się w obrocie.</w:t>
      </w:r>
    </w:p>
    <w:p w14:paraId="68D56FF4" w14:textId="77777777" w:rsidR="00132F98" w:rsidRDefault="00132F98">
      <w:pPr>
        <w:spacing w:line="240" w:lineRule="auto"/>
        <w:rPr>
          <w:noProof/>
          <w:szCs w:val="22"/>
        </w:rPr>
      </w:pPr>
    </w:p>
    <w:p w14:paraId="68D56FF5" w14:textId="77777777" w:rsidR="00132F98" w:rsidRDefault="00584E7E">
      <w:pPr>
        <w:spacing w:line="240" w:lineRule="auto"/>
        <w:ind w:left="567" w:hanging="567"/>
        <w:outlineLvl w:val="0"/>
        <w:rPr>
          <w:noProof/>
          <w:szCs w:val="22"/>
        </w:rPr>
      </w:pPr>
      <w:bookmarkStart w:id="7" w:name="OLE_LINK1"/>
      <w:r>
        <w:rPr>
          <w:b/>
          <w:szCs w:val="22"/>
        </w:rPr>
        <w:t>6.6</w:t>
      </w:r>
      <w:r>
        <w:rPr>
          <w:b/>
          <w:szCs w:val="22"/>
        </w:rPr>
        <w:tab/>
        <w:t>Specjalne środki ostrożności dotyczące usuwania i przygotowania produktu leczniczego do stosowania</w:t>
      </w:r>
    </w:p>
    <w:p w14:paraId="68D56FF6" w14:textId="77777777" w:rsidR="00132F98" w:rsidRDefault="00132F98">
      <w:pPr>
        <w:spacing w:line="240" w:lineRule="auto"/>
        <w:rPr>
          <w:noProof/>
          <w:szCs w:val="22"/>
        </w:rPr>
      </w:pPr>
    </w:p>
    <w:p w14:paraId="68D56FF7" w14:textId="77777777" w:rsidR="00132F98" w:rsidRDefault="00584E7E">
      <w:r>
        <w:t>Wszelkie niewykorzystane resztki produktu leczniczego lub jego odpady należy usunąć zgodnie z lokaln</w:t>
      </w:r>
      <w:r>
        <w:t>ymi przepisami.</w:t>
      </w:r>
    </w:p>
    <w:p w14:paraId="68D56FF8" w14:textId="77777777" w:rsidR="00132F98" w:rsidRDefault="00132F98">
      <w:pPr>
        <w:spacing w:line="240" w:lineRule="auto"/>
        <w:rPr>
          <w:noProof/>
          <w:szCs w:val="22"/>
        </w:rPr>
      </w:pPr>
    </w:p>
    <w:bookmarkEnd w:id="7"/>
    <w:p w14:paraId="68D56FF9" w14:textId="77777777" w:rsidR="00132F98" w:rsidRDefault="00584E7E">
      <w:pPr>
        <w:rPr>
          <w:u w:val="single"/>
        </w:rPr>
      </w:pPr>
      <w:r>
        <w:rPr>
          <w:u w:val="single"/>
        </w:rPr>
        <w:t>Umieszczanie adaptera do butelki</w:t>
      </w:r>
    </w:p>
    <w:p w14:paraId="68D56FFA" w14:textId="77777777" w:rsidR="00132F98" w:rsidRDefault="00132F98">
      <w:pPr>
        <w:rPr>
          <w:u w:val="single"/>
        </w:rPr>
      </w:pPr>
    </w:p>
    <w:p w14:paraId="68D56FFB" w14:textId="77777777" w:rsidR="00132F98" w:rsidRDefault="00584E7E">
      <w:pPr>
        <w:rPr>
          <w:noProof/>
        </w:rPr>
      </w:pPr>
      <w:r>
        <w:t>Po pierwszym otwarciu butelki należy umieścić w niej adapter.</w:t>
      </w:r>
    </w:p>
    <w:p w14:paraId="68D56FFC" w14:textId="77777777" w:rsidR="00132F98" w:rsidRDefault="00584E7E">
      <w:pPr>
        <w:rPr>
          <w:noProof/>
        </w:rPr>
      </w:pPr>
      <w:r>
        <w:t>Umyć i wysuszyć ręce.</w:t>
      </w:r>
    </w:p>
    <w:p w14:paraId="68D56FFD" w14:textId="77777777" w:rsidR="00132F98" w:rsidRDefault="00584E7E">
      <w:pPr>
        <w:rPr>
          <w:noProof/>
        </w:rPr>
      </w:pPr>
      <w:r>
        <w:t>Wyjąć adapter z opakowania.</w:t>
      </w:r>
    </w:p>
    <w:p w14:paraId="68D56FFE" w14:textId="77777777" w:rsidR="00132F98" w:rsidRDefault="00584E7E">
      <w:pPr>
        <w:rPr>
          <w:noProof/>
        </w:rPr>
      </w:pPr>
      <w:r>
        <w:t>Postawić butelkę na płaskiej, twardej powierzchni.</w:t>
      </w:r>
    </w:p>
    <w:p w14:paraId="68D56FFF" w14:textId="77777777" w:rsidR="00132F98" w:rsidRDefault="00584E7E">
      <w:pPr>
        <w:rPr>
          <w:noProof/>
        </w:rPr>
      </w:pPr>
      <w:r>
        <w:t>Otworzyć butelkę.</w:t>
      </w:r>
    </w:p>
    <w:p w14:paraId="68D57000" w14:textId="77777777" w:rsidR="00132F98" w:rsidRDefault="00584E7E">
      <w:pPr>
        <w:rPr>
          <w:noProof/>
        </w:rPr>
      </w:pPr>
      <w:r>
        <w:t>Mocno przytrzymać butelk</w:t>
      </w:r>
      <w:r>
        <w:t>ę.</w:t>
      </w:r>
    </w:p>
    <w:p w14:paraId="68D57001" w14:textId="77777777" w:rsidR="00132F98" w:rsidRDefault="00584E7E">
      <w:pPr>
        <w:rPr>
          <w:noProof/>
        </w:rPr>
      </w:pPr>
      <w:r>
        <w:t>Umieścić adapter dokładnie nad otworem w górnej części butelki.</w:t>
      </w:r>
    </w:p>
    <w:p w14:paraId="68D57002" w14:textId="77777777" w:rsidR="00132F98" w:rsidRDefault="00584E7E">
      <w:pPr>
        <w:rPr>
          <w:noProof/>
        </w:rPr>
      </w:pPr>
      <w:r>
        <w:t>Włożyć adapter do butelki, popychając go wewnętrzną częścią dłoni.</w:t>
      </w:r>
    </w:p>
    <w:p w14:paraId="68D57003" w14:textId="77777777" w:rsidR="00132F98" w:rsidRDefault="00584E7E">
      <w:pPr>
        <w:rPr>
          <w:noProof/>
        </w:rPr>
      </w:pPr>
      <w:r>
        <w:t>Adapter powinien przylegać do górnej części butelki.</w:t>
      </w:r>
    </w:p>
    <w:p w14:paraId="68D57004" w14:textId="77777777" w:rsidR="00132F98" w:rsidRDefault="00584E7E">
      <w:pPr>
        <w:rPr>
          <w:noProof/>
        </w:rPr>
      </w:pPr>
      <w:r>
        <w:t>Nie należy wyjmować adaptera po każdym zastosowaniu.</w:t>
      </w:r>
    </w:p>
    <w:p w14:paraId="68D57005" w14:textId="77777777" w:rsidR="00132F98" w:rsidRDefault="00584E7E">
      <w:pPr>
        <w:rPr>
          <w:noProof/>
        </w:rPr>
      </w:pPr>
      <w:r>
        <w:t xml:space="preserve">Butelkę z </w:t>
      </w:r>
      <w:r>
        <w:t>założonym adapterem można zamknąć zakrętką.</w:t>
      </w:r>
    </w:p>
    <w:p w14:paraId="68D57006" w14:textId="77777777" w:rsidR="00132F98" w:rsidRDefault="00132F98">
      <w:pPr>
        <w:rPr>
          <w:noProof/>
        </w:rPr>
      </w:pPr>
    </w:p>
    <w:p w14:paraId="68D57007" w14:textId="77777777" w:rsidR="00132F98" w:rsidRDefault="00584E7E">
      <w:pPr>
        <w:rPr>
          <w:u w:val="single"/>
        </w:rPr>
      </w:pPr>
      <w:r>
        <w:rPr>
          <w:u w:val="single"/>
        </w:rPr>
        <w:t>Czyszczenie strzykawki</w:t>
      </w:r>
    </w:p>
    <w:p w14:paraId="68D57008" w14:textId="77777777" w:rsidR="00132F98" w:rsidRDefault="00132F98">
      <w:pPr>
        <w:rPr>
          <w:u w:val="single"/>
        </w:rPr>
      </w:pPr>
    </w:p>
    <w:p w14:paraId="68D57009" w14:textId="77777777" w:rsidR="00132F98" w:rsidRDefault="00584E7E">
      <w:r>
        <w:t>Wyjąć tłok ze strzykawki, aby wypłukać każdą część.</w:t>
      </w:r>
    </w:p>
    <w:p w14:paraId="68D5700A" w14:textId="77777777" w:rsidR="00132F98" w:rsidRDefault="00584E7E">
      <w:r>
        <w:t>Po każdym użyciu przepłukać strzykawkę doustną czystą wodą i pozostawić do wyschnięcia.</w:t>
      </w:r>
    </w:p>
    <w:p w14:paraId="68D5700B" w14:textId="77777777" w:rsidR="00132F98" w:rsidRDefault="00584E7E">
      <w:r>
        <w:t>Przepłukać wnętrze strzykawki oraz tłok.</w:t>
      </w:r>
    </w:p>
    <w:p w14:paraId="68D5700C" w14:textId="77777777" w:rsidR="00132F98" w:rsidRDefault="00584E7E">
      <w:r>
        <w:t>Strzykawkę i tłok można myć w zmywarce.</w:t>
      </w:r>
    </w:p>
    <w:p w14:paraId="68D5700D" w14:textId="77777777" w:rsidR="00132F98" w:rsidRDefault="00584E7E">
      <w:r>
        <w:t>Aby wyczyścić strzykawkę, można kilka razy zassać do niej czystą wodę za pomocą tłoka i ją wypuścić.</w:t>
      </w:r>
    </w:p>
    <w:p w14:paraId="68D5700E" w14:textId="77777777" w:rsidR="00132F98" w:rsidRDefault="00584E7E">
      <w:r>
        <w:t>Przed kolejnym użyciem strzykawka i tłok powinny być całkowicie suche.</w:t>
      </w:r>
    </w:p>
    <w:p w14:paraId="68D5700F" w14:textId="77777777" w:rsidR="00132F98" w:rsidRDefault="00132F98"/>
    <w:p w14:paraId="68D57010" w14:textId="77777777" w:rsidR="00132F98" w:rsidRDefault="00584E7E">
      <w:pPr>
        <w:rPr>
          <w:u w:val="single"/>
        </w:rPr>
      </w:pPr>
      <w:r>
        <w:rPr>
          <w:u w:val="single"/>
        </w:rPr>
        <w:t>Zgłębniki pokarmowe</w:t>
      </w:r>
    </w:p>
    <w:p w14:paraId="68D57011" w14:textId="77777777" w:rsidR="00132F98" w:rsidRDefault="00132F98">
      <w:pPr>
        <w:spacing w:line="240" w:lineRule="auto"/>
        <w:rPr>
          <w:u w:val="single"/>
        </w:rPr>
      </w:pPr>
    </w:p>
    <w:p w14:paraId="68D57012" w14:textId="77777777" w:rsidR="00132F98" w:rsidRDefault="00584E7E">
      <w:pPr>
        <w:spacing w:line="240" w:lineRule="auto"/>
      </w:pPr>
      <w:r>
        <w:t>Produkt Fintepla roztw</w:t>
      </w:r>
      <w:r>
        <w:t>ór doustny jest zgodny z większością dojelitowych zgłębników pokarmowych.</w:t>
      </w:r>
    </w:p>
    <w:p w14:paraId="68D57013" w14:textId="77777777" w:rsidR="00132F98" w:rsidRDefault="00584E7E">
      <w:pPr>
        <w:spacing w:line="240" w:lineRule="auto"/>
        <w:rPr>
          <w:i/>
        </w:rPr>
      </w:pPr>
      <w:r>
        <w:t>Aby przepłukać zgłębnik, należy napełnić wodą strzykawkę użytą do podania dawki i wypłukać zgłębnik. Czynność powtórzyć trzykrotnie.</w:t>
      </w:r>
    </w:p>
    <w:p w14:paraId="68D57014" w14:textId="77777777" w:rsidR="00132F98" w:rsidRDefault="00132F98">
      <w:pPr>
        <w:spacing w:line="240" w:lineRule="auto"/>
      </w:pPr>
    </w:p>
    <w:p w14:paraId="68D57015" w14:textId="77777777" w:rsidR="00132F98" w:rsidRDefault="00132F98">
      <w:pPr>
        <w:spacing w:line="240" w:lineRule="auto"/>
        <w:rPr>
          <w:noProof/>
          <w:szCs w:val="22"/>
        </w:rPr>
      </w:pPr>
    </w:p>
    <w:p w14:paraId="68D57016" w14:textId="77777777" w:rsidR="00132F98" w:rsidRDefault="00584E7E">
      <w:pPr>
        <w:spacing w:line="240" w:lineRule="auto"/>
        <w:rPr>
          <w:b/>
          <w:bCs/>
        </w:rPr>
      </w:pPr>
      <w:r>
        <w:rPr>
          <w:b/>
          <w:bCs/>
        </w:rPr>
        <w:lastRenderedPageBreak/>
        <w:t>7.</w:t>
      </w:r>
      <w:r>
        <w:rPr>
          <w:b/>
          <w:bCs/>
        </w:rPr>
        <w:tab/>
        <w:t>PODMIOT ODPOWIEDZIALNY POSIADAJĄCY POZWOLENI</w:t>
      </w:r>
      <w:r>
        <w:rPr>
          <w:b/>
          <w:bCs/>
        </w:rPr>
        <w:t>E NA DOPUSZCZENIE DO OBROTU</w:t>
      </w:r>
    </w:p>
    <w:p w14:paraId="68D57017" w14:textId="77777777" w:rsidR="00132F98" w:rsidRDefault="00132F98">
      <w:pPr>
        <w:spacing w:line="240" w:lineRule="auto"/>
        <w:rPr>
          <w:noProof/>
          <w:szCs w:val="22"/>
        </w:rPr>
      </w:pPr>
    </w:p>
    <w:p w14:paraId="68D57018" w14:textId="77777777" w:rsidR="00132F98" w:rsidRDefault="00584E7E">
      <w:pPr>
        <w:spacing w:line="240" w:lineRule="auto"/>
        <w:rPr>
          <w:lang w:val="fr-FR"/>
        </w:rPr>
      </w:pPr>
      <w:r>
        <w:rPr>
          <w:lang w:val="fr-FR"/>
        </w:rPr>
        <w:t>UCB Pharma S.A.,</w:t>
      </w:r>
    </w:p>
    <w:p w14:paraId="68D57019" w14:textId="77777777" w:rsidR="00132F98" w:rsidRDefault="00584E7E">
      <w:pPr>
        <w:spacing w:line="240" w:lineRule="auto"/>
        <w:rPr>
          <w:lang w:val="fr-FR"/>
        </w:rPr>
      </w:pPr>
      <w:r>
        <w:rPr>
          <w:lang w:val="fr-FR"/>
        </w:rPr>
        <w:t>Allée de la Recherche 60,</w:t>
      </w:r>
    </w:p>
    <w:p w14:paraId="68D5701A" w14:textId="77777777" w:rsidR="00132F98" w:rsidRDefault="00584E7E">
      <w:pPr>
        <w:spacing w:line="240" w:lineRule="auto"/>
      </w:pPr>
      <w:r>
        <w:t>B-1070 Bruxelles,</w:t>
      </w:r>
    </w:p>
    <w:p w14:paraId="68D5701B" w14:textId="77777777" w:rsidR="00132F98" w:rsidRDefault="00584E7E">
      <w:pPr>
        <w:spacing w:line="240" w:lineRule="auto"/>
      </w:pPr>
      <w:r>
        <w:t>Belgia</w:t>
      </w:r>
    </w:p>
    <w:p w14:paraId="68D5701C" w14:textId="77777777" w:rsidR="00132F98" w:rsidRDefault="00132F98">
      <w:pPr>
        <w:spacing w:line="240" w:lineRule="auto"/>
        <w:rPr>
          <w:noProof/>
          <w:szCs w:val="22"/>
        </w:rPr>
      </w:pPr>
    </w:p>
    <w:p w14:paraId="68D5701D" w14:textId="77777777" w:rsidR="00132F98" w:rsidRDefault="00132F98">
      <w:pPr>
        <w:spacing w:line="240" w:lineRule="auto"/>
        <w:rPr>
          <w:noProof/>
          <w:szCs w:val="22"/>
        </w:rPr>
      </w:pPr>
    </w:p>
    <w:p w14:paraId="68D5701E" w14:textId="77777777" w:rsidR="00132F98" w:rsidRDefault="00584E7E">
      <w:pPr>
        <w:spacing w:line="240" w:lineRule="auto"/>
        <w:ind w:left="567" w:hanging="567"/>
        <w:rPr>
          <w:b/>
          <w:noProof/>
          <w:szCs w:val="22"/>
        </w:rPr>
      </w:pPr>
      <w:r>
        <w:rPr>
          <w:b/>
          <w:szCs w:val="22"/>
        </w:rPr>
        <w:t>8.</w:t>
      </w:r>
      <w:r>
        <w:rPr>
          <w:b/>
          <w:szCs w:val="22"/>
        </w:rPr>
        <w:tab/>
        <w:t>NUMERY POZWOLEŃ NA DOPUSZCZENIE DO OBROTU</w:t>
      </w:r>
    </w:p>
    <w:p w14:paraId="68D5701F" w14:textId="77777777" w:rsidR="00132F98" w:rsidRDefault="00132F98">
      <w:pPr>
        <w:spacing w:line="240" w:lineRule="auto"/>
        <w:rPr>
          <w:noProof/>
          <w:szCs w:val="22"/>
        </w:rPr>
      </w:pPr>
    </w:p>
    <w:p w14:paraId="68D57020" w14:textId="77777777" w:rsidR="00132F98" w:rsidRDefault="00584E7E">
      <w:pPr>
        <w:spacing w:line="240" w:lineRule="auto"/>
        <w:rPr>
          <w:noProof/>
          <w:szCs w:val="22"/>
        </w:rPr>
      </w:pPr>
      <w:bookmarkStart w:id="8" w:name="_Hlk83117530"/>
      <w:r>
        <w:rPr>
          <w:noProof/>
          <w:szCs w:val="22"/>
        </w:rPr>
        <w:t>EU/1/20/1491/001</w:t>
      </w:r>
    </w:p>
    <w:p w14:paraId="68D57021" w14:textId="77777777" w:rsidR="00132F98" w:rsidRDefault="00584E7E">
      <w:pPr>
        <w:spacing w:line="240" w:lineRule="auto"/>
        <w:rPr>
          <w:noProof/>
          <w:szCs w:val="22"/>
        </w:rPr>
      </w:pPr>
      <w:r>
        <w:rPr>
          <w:noProof/>
          <w:szCs w:val="22"/>
        </w:rPr>
        <w:t>EU/1/20/1491/002</w:t>
      </w:r>
    </w:p>
    <w:p w14:paraId="68D57022" w14:textId="77777777" w:rsidR="00132F98" w:rsidRDefault="00584E7E">
      <w:pPr>
        <w:spacing w:line="240" w:lineRule="auto"/>
        <w:rPr>
          <w:noProof/>
          <w:szCs w:val="22"/>
        </w:rPr>
      </w:pPr>
      <w:r>
        <w:rPr>
          <w:noProof/>
          <w:szCs w:val="22"/>
        </w:rPr>
        <w:t>EU/1/20/1491/003</w:t>
      </w:r>
    </w:p>
    <w:p w14:paraId="68D57023" w14:textId="77777777" w:rsidR="00132F98" w:rsidRDefault="00584E7E">
      <w:pPr>
        <w:spacing w:line="240" w:lineRule="auto"/>
        <w:rPr>
          <w:noProof/>
          <w:szCs w:val="22"/>
        </w:rPr>
      </w:pPr>
      <w:r>
        <w:rPr>
          <w:noProof/>
          <w:szCs w:val="22"/>
        </w:rPr>
        <w:t>EU/1/20/1491/004</w:t>
      </w:r>
      <w:bookmarkEnd w:id="8"/>
    </w:p>
    <w:p w14:paraId="68D57024" w14:textId="77777777" w:rsidR="00132F98" w:rsidRDefault="00132F98">
      <w:pPr>
        <w:spacing w:line="240" w:lineRule="auto"/>
        <w:rPr>
          <w:noProof/>
          <w:szCs w:val="22"/>
        </w:rPr>
      </w:pPr>
    </w:p>
    <w:p w14:paraId="68D57025" w14:textId="77777777" w:rsidR="00132F98" w:rsidRDefault="00132F98">
      <w:pPr>
        <w:spacing w:line="240" w:lineRule="auto"/>
        <w:rPr>
          <w:noProof/>
          <w:szCs w:val="22"/>
        </w:rPr>
      </w:pPr>
    </w:p>
    <w:p w14:paraId="68D57026" w14:textId="77777777" w:rsidR="00132F98" w:rsidRDefault="00584E7E">
      <w:pPr>
        <w:spacing w:line="240" w:lineRule="auto"/>
        <w:ind w:left="567" w:hanging="567"/>
        <w:rPr>
          <w:noProof/>
          <w:szCs w:val="22"/>
        </w:rPr>
      </w:pPr>
      <w:r>
        <w:rPr>
          <w:b/>
          <w:szCs w:val="22"/>
        </w:rPr>
        <w:t>9.</w:t>
      </w:r>
      <w:r>
        <w:rPr>
          <w:b/>
          <w:szCs w:val="22"/>
        </w:rPr>
        <w:tab/>
        <w:t xml:space="preserve">DATA WYDANIA PIERWSZEGO </w:t>
      </w:r>
      <w:r>
        <w:rPr>
          <w:b/>
          <w:szCs w:val="22"/>
        </w:rPr>
        <w:t>POZWOLENIA NA DOPUSZCZENIE DO OBROTU I DATA PRZEDŁUŻENIA POZWOLENIA</w:t>
      </w:r>
    </w:p>
    <w:p w14:paraId="68D57027" w14:textId="77777777" w:rsidR="00132F98" w:rsidRDefault="00132F98">
      <w:pPr>
        <w:spacing w:line="240" w:lineRule="auto"/>
        <w:rPr>
          <w:noProof/>
          <w:szCs w:val="22"/>
        </w:rPr>
      </w:pPr>
    </w:p>
    <w:p w14:paraId="68D57028" w14:textId="77777777" w:rsidR="00132F98" w:rsidRDefault="00584E7E">
      <w:pPr>
        <w:spacing w:line="240" w:lineRule="auto"/>
      </w:pPr>
      <w:r>
        <w:t>Data wydania pierwszego pozwolenia na dopuszczenie do obrotu: 18 grudnia 2020 r.</w:t>
      </w:r>
    </w:p>
    <w:p w14:paraId="68D57029" w14:textId="77777777" w:rsidR="00132F98" w:rsidRDefault="00132F98">
      <w:pPr>
        <w:spacing w:line="240" w:lineRule="auto"/>
        <w:rPr>
          <w:noProof/>
          <w:szCs w:val="22"/>
        </w:rPr>
      </w:pPr>
    </w:p>
    <w:p w14:paraId="68D5702A" w14:textId="77777777" w:rsidR="00132F98" w:rsidRDefault="00132F98">
      <w:pPr>
        <w:spacing w:line="240" w:lineRule="auto"/>
        <w:rPr>
          <w:noProof/>
          <w:szCs w:val="22"/>
        </w:rPr>
      </w:pPr>
    </w:p>
    <w:p w14:paraId="68D5702B" w14:textId="77777777" w:rsidR="00132F98" w:rsidRDefault="00584E7E">
      <w:pPr>
        <w:spacing w:line="240" w:lineRule="auto"/>
        <w:ind w:left="567" w:hanging="567"/>
        <w:rPr>
          <w:b/>
          <w:szCs w:val="22"/>
        </w:rPr>
      </w:pPr>
      <w:r>
        <w:rPr>
          <w:b/>
          <w:szCs w:val="22"/>
        </w:rPr>
        <w:t>10.</w:t>
      </w:r>
      <w:r>
        <w:rPr>
          <w:b/>
          <w:szCs w:val="22"/>
        </w:rPr>
        <w:tab/>
        <w:t>DATA ZATWIERDZENIA LUB CZĘŚCIOWEJ ZMIANY TEKSTU CHARAKTERYSTYKI PRODUKTU LECZNICZEGO</w:t>
      </w:r>
    </w:p>
    <w:p w14:paraId="5B6B212B" w14:textId="6908A0A2" w:rsidR="00AF149F" w:rsidRDefault="00AF149F">
      <w:pPr>
        <w:spacing w:line="240" w:lineRule="auto"/>
        <w:ind w:left="567" w:hanging="567"/>
        <w:rPr>
          <w:b/>
          <w:szCs w:val="22"/>
        </w:rPr>
      </w:pPr>
    </w:p>
    <w:p w14:paraId="360879DB" w14:textId="3EC9CAD2" w:rsidR="009060CB" w:rsidRDefault="00E00721">
      <w:pPr>
        <w:spacing w:line="240" w:lineRule="auto"/>
        <w:ind w:left="567" w:hanging="567"/>
        <w:rPr>
          <w:b/>
          <w:noProof/>
          <w:szCs w:val="22"/>
        </w:rPr>
      </w:pPr>
      <w:r>
        <w:rPr>
          <w:b/>
          <w:szCs w:val="22"/>
        </w:rPr>
        <w:t>08</w:t>
      </w:r>
      <w:r w:rsidR="009060CB">
        <w:rPr>
          <w:b/>
          <w:szCs w:val="22"/>
        </w:rPr>
        <w:t>/2023</w:t>
      </w:r>
    </w:p>
    <w:p w14:paraId="68D5702C" w14:textId="77777777" w:rsidR="00132F98" w:rsidRDefault="00132F98">
      <w:pPr>
        <w:spacing w:line="240" w:lineRule="auto"/>
        <w:rPr>
          <w:noProof/>
          <w:szCs w:val="22"/>
        </w:rPr>
      </w:pPr>
    </w:p>
    <w:p w14:paraId="68D5702D" w14:textId="77777777" w:rsidR="00132F98" w:rsidRDefault="00584E7E">
      <w:pPr>
        <w:numPr>
          <w:ilvl w:val="12"/>
          <w:numId w:val="0"/>
        </w:numPr>
        <w:spacing w:line="240" w:lineRule="auto"/>
        <w:ind w:right="-2"/>
        <w:rPr>
          <w:noProof/>
          <w:szCs w:val="22"/>
        </w:rPr>
      </w:pPr>
      <w:r>
        <w:t xml:space="preserve">Szczegółowe informacje o tym produkcie leczniczym są dostępne na stronie internetowej Europejskiej Agencji Leków </w:t>
      </w:r>
      <w:hyperlink r:id="rId12" w:history="1">
        <w:r>
          <w:rPr>
            <w:rStyle w:val="Hyperlink"/>
            <w:szCs w:val="22"/>
          </w:rPr>
          <w:t>http://www.ema.europa.eu</w:t>
        </w:r>
      </w:hyperlink>
      <w:r>
        <w:rPr>
          <w:szCs w:val="22"/>
        </w:rPr>
        <w:t>.</w:t>
      </w:r>
    </w:p>
    <w:p w14:paraId="68D5702E" w14:textId="77777777" w:rsidR="00132F98" w:rsidRDefault="00132F98">
      <w:pPr>
        <w:spacing w:line="240" w:lineRule="auto"/>
        <w:rPr>
          <w:noProof/>
          <w:szCs w:val="22"/>
        </w:rPr>
      </w:pPr>
    </w:p>
    <w:p w14:paraId="68D5702F" w14:textId="77777777" w:rsidR="00132F98" w:rsidRDefault="00132F98">
      <w:pPr>
        <w:spacing w:line="240" w:lineRule="auto"/>
        <w:rPr>
          <w:noProof/>
          <w:szCs w:val="22"/>
        </w:rPr>
      </w:pPr>
    </w:p>
    <w:p w14:paraId="68D57030" w14:textId="77777777" w:rsidR="00132F98" w:rsidRDefault="00584E7E">
      <w:pPr>
        <w:numPr>
          <w:ilvl w:val="12"/>
          <w:numId w:val="0"/>
        </w:numPr>
        <w:spacing w:line="240" w:lineRule="auto"/>
        <w:ind w:right="-2"/>
        <w:rPr>
          <w:noProof/>
          <w:szCs w:val="22"/>
        </w:rPr>
      </w:pPr>
      <w:r>
        <w:br w:type="page"/>
      </w:r>
    </w:p>
    <w:p w14:paraId="68D57031" w14:textId="77777777" w:rsidR="00132F98" w:rsidRDefault="00132F98">
      <w:pPr>
        <w:spacing w:line="240" w:lineRule="auto"/>
        <w:rPr>
          <w:noProof/>
          <w:szCs w:val="22"/>
        </w:rPr>
      </w:pPr>
    </w:p>
    <w:p w14:paraId="68D57032" w14:textId="77777777" w:rsidR="00132F98" w:rsidRDefault="00132F98">
      <w:pPr>
        <w:spacing w:line="240" w:lineRule="auto"/>
        <w:rPr>
          <w:noProof/>
          <w:szCs w:val="22"/>
        </w:rPr>
      </w:pPr>
    </w:p>
    <w:p w14:paraId="68D57033" w14:textId="77777777" w:rsidR="00132F98" w:rsidRDefault="00132F98">
      <w:pPr>
        <w:spacing w:line="240" w:lineRule="auto"/>
        <w:rPr>
          <w:noProof/>
          <w:szCs w:val="22"/>
        </w:rPr>
      </w:pPr>
    </w:p>
    <w:p w14:paraId="68D57034" w14:textId="77777777" w:rsidR="00132F98" w:rsidRDefault="00132F98">
      <w:pPr>
        <w:spacing w:line="240" w:lineRule="auto"/>
        <w:rPr>
          <w:noProof/>
          <w:szCs w:val="22"/>
        </w:rPr>
      </w:pPr>
    </w:p>
    <w:p w14:paraId="68D57035" w14:textId="77777777" w:rsidR="00132F98" w:rsidRDefault="00132F98">
      <w:pPr>
        <w:spacing w:line="240" w:lineRule="auto"/>
        <w:rPr>
          <w:noProof/>
          <w:szCs w:val="22"/>
        </w:rPr>
      </w:pPr>
    </w:p>
    <w:p w14:paraId="68D57036" w14:textId="77777777" w:rsidR="00132F98" w:rsidRDefault="00132F98">
      <w:pPr>
        <w:spacing w:line="240" w:lineRule="auto"/>
        <w:rPr>
          <w:noProof/>
          <w:szCs w:val="22"/>
        </w:rPr>
      </w:pPr>
    </w:p>
    <w:p w14:paraId="68D57037" w14:textId="77777777" w:rsidR="00132F98" w:rsidRDefault="00132F98">
      <w:pPr>
        <w:spacing w:line="240" w:lineRule="auto"/>
        <w:rPr>
          <w:noProof/>
          <w:szCs w:val="22"/>
        </w:rPr>
      </w:pPr>
    </w:p>
    <w:p w14:paraId="68D57038" w14:textId="77777777" w:rsidR="00132F98" w:rsidRDefault="00132F98">
      <w:pPr>
        <w:spacing w:line="240" w:lineRule="auto"/>
        <w:rPr>
          <w:noProof/>
          <w:szCs w:val="22"/>
        </w:rPr>
      </w:pPr>
    </w:p>
    <w:p w14:paraId="68D57039" w14:textId="77777777" w:rsidR="00132F98" w:rsidRDefault="00132F98">
      <w:pPr>
        <w:spacing w:line="240" w:lineRule="auto"/>
        <w:rPr>
          <w:noProof/>
          <w:szCs w:val="22"/>
        </w:rPr>
      </w:pPr>
    </w:p>
    <w:p w14:paraId="68D5703A" w14:textId="77777777" w:rsidR="00132F98" w:rsidRDefault="00132F98">
      <w:pPr>
        <w:spacing w:line="240" w:lineRule="auto"/>
        <w:rPr>
          <w:noProof/>
          <w:szCs w:val="22"/>
        </w:rPr>
      </w:pPr>
    </w:p>
    <w:p w14:paraId="68D5703B" w14:textId="77777777" w:rsidR="00132F98" w:rsidRDefault="00132F98">
      <w:pPr>
        <w:spacing w:line="240" w:lineRule="auto"/>
        <w:rPr>
          <w:noProof/>
          <w:szCs w:val="22"/>
        </w:rPr>
      </w:pPr>
    </w:p>
    <w:p w14:paraId="68D5703C" w14:textId="77777777" w:rsidR="00132F98" w:rsidRDefault="00132F98">
      <w:pPr>
        <w:spacing w:line="240" w:lineRule="auto"/>
        <w:rPr>
          <w:noProof/>
          <w:szCs w:val="22"/>
        </w:rPr>
      </w:pPr>
    </w:p>
    <w:p w14:paraId="68D5703D" w14:textId="77777777" w:rsidR="00132F98" w:rsidRDefault="00132F98">
      <w:pPr>
        <w:spacing w:line="240" w:lineRule="auto"/>
        <w:rPr>
          <w:noProof/>
          <w:szCs w:val="22"/>
        </w:rPr>
      </w:pPr>
    </w:p>
    <w:p w14:paraId="68D5703E" w14:textId="77777777" w:rsidR="00132F98" w:rsidRDefault="00132F98">
      <w:pPr>
        <w:spacing w:line="240" w:lineRule="auto"/>
        <w:rPr>
          <w:noProof/>
          <w:szCs w:val="22"/>
        </w:rPr>
      </w:pPr>
    </w:p>
    <w:p w14:paraId="68D5703F" w14:textId="77777777" w:rsidR="00132F98" w:rsidRDefault="00132F98">
      <w:pPr>
        <w:spacing w:line="240" w:lineRule="auto"/>
        <w:rPr>
          <w:noProof/>
          <w:szCs w:val="22"/>
        </w:rPr>
      </w:pPr>
    </w:p>
    <w:p w14:paraId="68D57040" w14:textId="77777777" w:rsidR="00132F98" w:rsidRDefault="00132F98">
      <w:pPr>
        <w:spacing w:line="240" w:lineRule="auto"/>
        <w:rPr>
          <w:noProof/>
          <w:szCs w:val="22"/>
        </w:rPr>
      </w:pPr>
    </w:p>
    <w:p w14:paraId="68D57041" w14:textId="77777777" w:rsidR="00132F98" w:rsidRDefault="00132F98">
      <w:pPr>
        <w:spacing w:line="240" w:lineRule="auto"/>
        <w:rPr>
          <w:noProof/>
          <w:szCs w:val="22"/>
        </w:rPr>
      </w:pPr>
    </w:p>
    <w:p w14:paraId="68D57042" w14:textId="77777777" w:rsidR="00132F98" w:rsidRDefault="00132F98">
      <w:pPr>
        <w:spacing w:line="240" w:lineRule="auto"/>
        <w:rPr>
          <w:noProof/>
          <w:szCs w:val="22"/>
        </w:rPr>
      </w:pPr>
    </w:p>
    <w:p w14:paraId="68D57043" w14:textId="77777777" w:rsidR="00132F98" w:rsidRDefault="00132F98">
      <w:pPr>
        <w:spacing w:line="240" w:lineRule="auto"/>
        <w:rPr>
          <w:noProof/>
          <w:szCs w:val="22"/>
        </w:rPr>
      </w:pPr>
    </w:p>
    <w:p w14:paraId="68D57044" w14:textId="77777777" w:rsidR="00132F98" w:rsidRDefault="00132F98">
      <w:pPr>
        <w:spacing w:line="240" w:lineRule="auto"/>
        <w:rPr>
          <w:noProof/>
          <w:szCs w:val="22"/>
        </w:rPr>
      </w:pPr>
    </w:p>
    <w:p w14:paraId="68D57045" w14:textId="77777777" w:rsidR="00132F98" w:rsidRDefault="00132F98">
      <w:pPr>
        <w:spacing w:line="240" w:lineRule="auto"/>
        <w:rPr>
          <w:noProof/>
          <w:szCs w:val="22"/>
        </w:rPr>
      </w:pPr>
    </w:p>
    <w:p w14:paraId="68D57046" w14:textId="77777777" w:rsidR="00132F98" w:rsidRDefault="00132F98">
      <w:pPr>
        <w:spacing w:line="240" w:lineRule="auto"/>
        <w:rPr>
          <w:noProof/>
          <w:szCs w:val="22"/>
        </w:rPr>
      </w:pPr>
    </w:p>
    <w:bookmarkEnd w:id="0"/>
    <w:p w14:paraId="68D57382" w14:textId="112D3E22" w:rsidR="00132F98" w:rsidRDefault="00132F98" w:rsidP="00584E7E">
      <w:pPr>
        <w:spacing w:line="240" w:lineRule="auto"/>
        <w:jc w:val="center"/>
        <w:rPr>
          <w:i/>
          <w:szCs w:val="22"/>
        </w:rPr>
      </w:pPr>
    </w:p>
    <w:sectPr w:rsidR="00132F98">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7C24" w14:textId="77777777" w:rsidR="00D3036E" w:rsidRDefault="00D3036E">
      <w:pPr>
        <w:spacing w:line="240" w:lineRule="auto"/>
      </w:pPr>
      <w:r>
        <w:separator/>
      </w:r>
    </w:p>
  </w:endnote>
  <w:endnote w:type="continuationSeparator" w:id="0">
    <w:p w14:paraId="53261BC8" w14:textId="77777777" w:rsidR="00D3036E" w:rsidRDefault="00D30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
    <w:altName w:val="Klee On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39F" w14:textId="77777777" w:rsidR="00132F98" w:rsidRDefault="00584E7E">
    <w:pPr>
      <w:pStyle w:val="Footer"/>
      <w:tabs>
        <w:tab w:val="right" w:pos="8931"/>
      </w:tabs>
      <w:ind w:right="96"/>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3A0" w14:textId="77777777" w:rsidR="00132F98" w:rsidRDefault="00584E7E">
    <w:pPr>
      <w:pStyle w:val="Footer"/>
      <w:tabs>
        <w:tab w:val="right" w:pos="8931"/>
      </w:tabs>
      <w:ind w:right="96"/>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5CB7" w14:textId="77777777" w:rsidR="00D3036E" w:rsidRDefault="00D3036E">
      <w:pPr>
        <w:spacing w:line="240" w:lineRule="auto"/>
      </w:pPr>
      <w:r>
        <w:separator/>
      </w:r>
    </w:p>
  </w:footnote>
  <w:footnote w:type="continuationSeparator" w:id="0">
    <w:p w14:paraId="5179A23A" w14:textId="77777777" w:rsidR="00D3036E" w:rsidRDefault="00D303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3A0C6688">
      <w:start w:val="1"/>
      <w:numFmt w:val="bullet"/>
      <w:lvlText w:val=""/>
      <w:lvlJc w:val="left"/>
      <w:pPr>
        <w:tabs>
          <w:tab w:val="num" w:pos="360"/>
        </w:tabs>
        <w:ind w:left="360" w:hanging="360"/>
      </w:pPr>
      <w:rPr>
        <w:rFonts w:ascii="Symbol" w:hAnsi="Symbol" w:hint="default"/>
      </w:rPr>
    </w:lvl>
    <w:lvl w:ilvl="1" w:tplc="D85CFEC6" w:tentative="1">
      <w:start w:val="1"/>
      <w:numFmt w:val="bullet"/>
      <w:lvlText w:val="o"/>
      <w:lvlJc w:val="left"/>
      <w:pPr>
        <w:tabs>
          <w:tab w:val="num" w:pos="1080"/>
        </w:tabs>
        <w:ind w:left="1080" w:hanging="360"/>
      </w:pPr>
      <w:rPr>
        <w:rFonts w:ascii="Courier New" w:hAnsi="Courier New" w:cs="Courier New" w:hint="default"/>
      </w:rPr>
    </w:lvl>
    <w:lvl w:ilvl="2" w:tplc="79DEB9E4" w:tentative="1">
      <w:start w:val="1"/>
      <w:numFmt w:val="bullet"/>
      <w:lvlText w:val=""/>
      <w:lvlJc w:val="left"/>
      <w:pPr>
        <w:tabs>
          <w:tab w:val="num" w:pos="1800"/>
        </w:tabs>
        <w:ind w:left="1800" w:hanging="360"/>
      </w:pPr>
      <w:rPr>
        <w:rFonts w:ascii="Wingdings" w:hAnsi="Wingdings" w:hint="default"/>
      </w:rPr>
    </w:lvl>
    <w:lvl w:ilvl="3" w:tplc="14147F76" w:tentative="1">
      <w:start w:val="1"/>
      <w:numFmt w:val="bullet"/>
      <w:lvlText w:val=""/>
      <w:lvlJc w:val="left"/>
      <w:pPr>
        <w:tabs>
          <w:tab w:val="num" w:pos="2520"/>
        </w:tabs>
        <w:ind w:left="2520" w:hanging="360"/>
      </w:pPr>
      <w:rPr>
        <w:rFonts w:ascii="Symbol" w:hAnsi="Symbol" w:hint="default"/>
      </w:rPr>
    </w:lvl>
    <w:lvl w:ilvl="4" w:tplc="778A4B78" w:tentative="1">
      <w:start w:val="1"/>
      <w:numFmt w:val="bullet"/>
      <w:lvlText w:val="o"/>
      <w:lvlJc w:val="left"/>
      <w:pPr>
        <w:tabs>
          <w:tab w:val="num" w:pos="3240"/>
        </w:tabs>
        <w:ind w:left="3240" w:hanging="360"/>
      </w:pPr>
      <w:rPr>
        <w:rFonts w:ascii="Courier New" w:hAnsi="Courier New" w:cs="Courier New" w:hint="default"/>
      </w:rPr>
    </w:lvl>
    <w:lvl w:ilvl="5" w:tplc="C1849E2C" w:tentative="1">
      <w:start w:val="1"/>
      <w:numFmt w:val="bullet"/>
      <w:lvlText w:val=""/>
      <w:lvlJc w:val="left"/>
      <w:pPr>
        <w:tabs>
          <w:tab w:val="num" w:pos="3960"/>
        </w:tabs>
        <w:ind w:left="3960" w:hanging="360"/>
      </w:pPr>
      <w:rPr>
        <w:rFonts w:ascii="Wingdings" w:hAnsi="Wingdings" w:hint="default"/>
      </w:rPr>
    </w:lvl>
    <w:lvl w:ilvl="6" w:tplc="9CEEE2DA" w:tentative="1">
      <w:start w:val="1"/>
      <w:numFmt w:val="bullet"/>
      <w:lvlText w:val=""/>
      <w:lvlJc w:val="left"/>
      <w:pPr>
        <w:tabs>
          <w:tab w:val="num" w:pos="4680"/>
        </w:tabs>
        <w:ind w:left="4680" w:hanging="360"/>
      </w:pPr>
      <w:rPr>
        <w:rFonts w:ascii="Symbol" w:hAnsi="Symbol" w:hint="default"/>
      </w:rPr>
    </w:lvl>
    <w:lvl w:ilvl="7" w:tplc="7CE85926" w:tentative="1">
      <w:start w:val="1"/>
      <w:numFmt w:val="bullet"/>
      <w:lvlText w:val="o"/>
      <w:lvlJc w:val="left"/>
      <w:pPr>
        <w:tabs>
          <w:tab w:val="num" w:pos="5400"/>
        </w:tabs>
        <w:ind w:left="5400" w:hanging="360"/>
      </w:pPr>
      <w:rPr>
        <w:rFonts w:ascii="Courier New" w:hAnsi="Courier New" w:cs="Courier New" w:hint="default"/>
      </w:rPr>
    </w:lvl>
    <w:lvl w:ilvl="8" w:tplc="92623C1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8514B"/>
    <w:multiLevelType w:val="hybridMultilevel"/>
    <w:tmpl w:val="8F949496"/>
    <w:lvl w:ilvl="0" w:tplc="169840EA">
      <w:start w:val="1"/>
      <w:numFmt w:val="bullet"/>
      <w:lvlText w:val=""/>
      <w:lvlJc w:val="left"/>
      <w:pPr>
        <w:ind w:left="360" w:hanging="360"/>
      </w:pPr>
      <w:rPr>
        <w:rFonts w:ascii="Symbol" w:hAnsi="Symbol" w:hint="default"/>
      </w:rPr>
    </w:lvl>
    <w:lvl w:ilvl="1" w:tplc="D85260F6" w:tentative="1">
      <w:start w:val="1"/>
      <w:numFmt w:val="bullet"/>
      <w:lvlText w:val="o"/>
      <w:lvlJc w:val="left"/>
      <w:pPr>
        <w:ind w:left="1440" w:hanging="360"/>
      </w:pPr>
      <w:rPr>
        <w:rFonts w:ascii="Courier New" w:hAnsi="Courier New" w:cs="Courier New" w:hint="default"/>
      </w:rPr>
    </w:lvl>
    <w:lvl w:ilvl="2" w:tplc="38BCEBCA" w:tentative="1">
      <w:start w:val="1"/>
      <w:numFmt w:val="bullet"/>
      <w:lvlText w:val=""/>
      <w:lvlJc w:val="left"/>
      <w:pPr>
        <w:ind w:left="2160" w:hanging="360"/>
      </w:pPr>
      <w:rPr>
        <w:rFonts w:ascii="Wingdings" w:hAnsi="Wingdings" w:hint="default"/>
      </w:rPr>
    </w:lvl>
    <w:lvl w:ilvl="3" w:tplc="66A8D818" w:tentative="1">
      <w:start w:val="1"/>
      <w:numFmt w:val="bullet"/>
      <w:lvlText w:val=""/>
      <w:lvlJc w:val="left"/>
      <w:pPr>
        <w:ind w:left="2880" w:hanging="360"/>
      </w:pPr>
      <w:rPr>
        <w:rFonts w:ascii="Symbol" w:hAnsi="Symbol" w:hint="default"/>
      </w:rPr>
    </w:lvl>
    <w:lvl w:ilvl="4" w:tplc="A5DEAB9A" w:tentative="1">
      <w:start w:val="1"/>
      <w:numFmt w:val="bullet"/>
      <w:lvlText w:val="o"/>
      <w:lvlJc w:val="left"/>
      <w:pPr>
        <w:ind w:left="3600" w:hanging="360"/>
      </w:pPr>
      <w:rPr>
        <w:rFonts w:ascii="Courier New" w:hAnsi="Courier New" w:cs="Courier New" w:hint="default"/>
      </w:rPr>
    </w:lvl>
    <w:lvl w:ilvl="5" w:tplc="E334DC1C" w:tentative="1">
      <w:start w:val="1"/>
      <w:numFmt w:val="bullet"/>
      <w:lvlText w:val=""/>
      <w:lvlJc w:val="left"/>
      <w:pPr>
        <w:ind w:left="4320" w:hanging="360"/>
      </w:pPr>
      <w:rPr>
        <w:rFonts w:ascii="Wingdings" w:hAnsi="Wingdings" w:hint="default"/>
      </w:rPr>
    </w:lvl>
    <w:lvl w:ilvl="6" w:tplc="B9C0A01C" w:tentative="1">
      <w:start w:val="1"/>
      <w:numFmt w:val="bullet"/>
      <w:lvlText w:val=""/>
      <w:lvlJc w:val="left"/>
      <w:pPr>
        <w:ind w:left="5040" w:hanging="360"/>
      </w:pPr>
      <w:rPr>
        <w:rFonts w:ascii="Symbol" w:hAnsi="Symbol" w:hint="default"/>
      </w:rPr>
    </w:lvl>
    <w:lvl w:ilvl="7" w:tplc="F4388DDC" w:tentative="1">
      <w:start w:val="1"/>
      <w:numFmt w:val="bullet"/>
      <w:lvlText w:val="o"/>
      <w:lvlJc w:val="left"/>
      <w:pPr>
        <w:ind w:left="5760" w:hanging="360"/>
      </w:pPr>
      <w:rPr>
        <w:rFonts w:ascii="Courier New" w:hAnsi="Courier New" w:cs="Courier New" w:hint="default"/>
      </w:rPr>
    </w:lvl>
    <w:lvl w:ilvl="8" w:tplc="BD40E420"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75C0CC8">
      <w:start w:val="1"/>
      <w:numFmt w:val="bullet"/>
      <w:lvlText w:val=""/>
      <w:lvlJc w:val="left"/>
      <w:pPr>
        <w:tabs>
          <w:tab w:val="num" w:pos="720"/>
        </w:tabs>
        <w:ind w:left="720" w:hanging="360"/>
      </w:pPr>
      <w:rPr>
        <w:rFonts w:ascii="Symbol" w:hAnsi="Symbol" w:hint="default"/>
      </w:rPr>
    </w:lvl>
    <w:lvl w:ilvl="1" w:tplc="C518BC72" w:tentative="1">
      <w:start w:val="1"/>
      <w:numFmt w:val="bullet"/>
      <w:lvlText w:val="o"/>
      <w:lvlJc w:val="left"/>
      <w:pPr>
        <w:tabs>
          <w:tab w:val="num" w:pos="1440"/>
        </w:tabs>
        <w:ind w:left="1440" w:hanging="360"/>
      </w:pPr>
      <w:rPr>
        <w:rFonts w:ascii="Courier New" w:hAnsi="Courier New" w:cs="Courier New" w:hint="default"/>
      </w:rPr>
    </w:lvl>
    <w:lvl w:ilvl="2" w:tplc="DC565EA8" w:tentative="1">
      <w:start w:val="1"/>
      <w:numFmt w:val="bullet"/>
      <w:lvlText w:val=""/>
      <w:lvlJc w:val="left"/>
      <w:pPr>
        <w:tabs>
          <w:tab w:val="num" w:pos="2160"/>
        </w:tabs>
        <w:ind w:left="2160" w:hanging="360"/>
      </w:pPr>
      <w:rPr>
        <w:rFonts w:ascii="Wingdings" w:hAnsi="Wingdings" w:hint="default"/>
      </w:rPr>
    </w:lvl>
    <w:lvl w:ilvl="3" w:tplc="AA924EB4" w:tentative="1">
      <w:start w:val="1"/>
      <w:numFmt w:val="bullet"/>
      <w:lvlText w:val=""/>
      <w:lvlJc w:val="left"/>
      <w:pPr>
        <w:tabs>
          <w:tab w:val="num" w:pos="2880"/>
        </w:tabs>
        <w:ind w:left="2880" w:hanging="360"/>
      </w:pPr>
      <w:rPr>
        <w:rFonts w:ascii="Symbol" w:hAnsi="Symbol" w:hint="default"/>
      </w:rPr>
    </w:lvl>
    <w:lvl w:ilvl="4" w:tplc="A8A43E96" w:tentative="1">
      <w:start w:val="1"/>
      <w:numFmt w:val="bullet"/>
      <w:lvlText w:val="o"/>
      <w:lvlJc w:val="left"/>
      <w:pPr>
        <w:tabs>
          <w:tab w:val="num" w:pos="3600"/>
        </w:tabs>
        <w:ind w:left="3600" w:hanging="360"/>
      </w:pPr>
      <w:rPr>
        <w:rFonts w:ascii="Courier New" w:hAnsi="Courier New" w:cs="Courier New" w:hint="default"/>
      </w:rPr>
    </w:lvl>
    <w:lvl w:ilvl="5" w:tplc="560C72C0" w:tentative="1">
      <w:start w:val="1"/>
      <w:numFmt w:val="bullet"/>
      <w:lvlText w:val=""/>
      <w:lvlJc w:val="left"/>
      <w:pPr>
        <w:tabs>
          <w:tab w:val="num" w:pos="4320"/>
        </w:tabs>
        <w:ind w:left="4320" w:hanging="360"/>
      </w:pPr>
      <w:rPr>
        <w:rFonts w:ascii="Wingdings" w:hAnsi="Wingdings" w:hint="default"/>
      </w:rPr>
    </w:lvl>
    <w:lvl w:ilvl="6" w:tplc="A8EE21DE" w:tentative="1">
      <w:start w:val="1"/>
      <w:numFmt w:val="bullet"/>
      <w:lvlText w:val=""/>
      <w:lvlJc w:val="left"/>
      <w:pPr>
        <w:tabs>
          <w:tab w:val="num" w:pos="5040"/>
        </w:tabs>
        <w:ind w:left="5040" w:hanging="360"/>
      </w:pPr>
      <w:rPr>
        <w:rFonts w:ascii="Symbol" w:hAnsi="Symbol" w:hint="default"/>
      </w:rPr>
    </w:lvl>
    <w:lvl w:ilvl="7" w:tplc="BEEE56A2" w:tentative="1">
      <w:start w:val="1"/>
      <w:numFmt w:val="bullet"/>
      <w:lvlText w:val="o"/>
      <w:lvlJc w:val="left"/>
      <w:pPr>
        <w:tabs>
          <w:tab w:val="num" w:pos="5760"/>
        </w:tabs>
        <w:ind w:left="5760" w:hanging="360"/>
      </w:pPr>
      <w:rPr>
        <w:rFonts w:ascii="Courier New" w:hAnsi="Courier New" w:cs="Courier New" w:hint="default"/>
      </w:rPr>
    </w:lvl>
    <w:lvl w:ilvl="8" w:tplc="1E90CA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33C3E"/>
    <w:multiLevelType w:val="hybridMultilevel"/>
    <w:tmpl w:val="ABFED498"/>
    <w:lvl w:ilvl="0" w:tplc="2C76F1B6">
      <w:start w:val="1"/>
      <w:numFmt w:val="decimal"/>
      <w:lvlText w:val="%1."/>
      <w:lvlJc w:val="left"/>
      <w:pPr>
        <w:ind w:left="720" w:hanging="360"/>
      </w:pPr>
    </w:lvl>
    <w:lvl w:ilvl="1" w:tplc="7BFE366E">
      <w:start w:val="1"/>
      <w:numFmt w:val="lowerLetter"/>
      <w:lvlText w:val="%2."/>
      <w:lvlJc w:val="left"/>
      <w:pPr>
        <w:ind w:left="1440" w:hanging="360"/>
      </w:pPr>
    </w:lvl>
    <w:lvl w:ilvl="2" w:tplc="67441CD2">
      <w:start w:val="1"/>
      <w:numFmt w:val="lowerRoman"/>
      <w:lvlText w:val="%3."/>
      <w:lvlJc w:val="right"/>
      <w:pPr>
        <w:ind w:left="2160" w:hanging="180"/>
      </w:pPr>
    </w:lvl>
    <w:lvl w:ilvl="3" w:tplc="07FA6470">
      <w:start w:val="1"/>
      <w:numFmt w:val="decimal"/>
      <w:lvlText w:val="%4."/>
      <w:lvlJc w:val="left"/>
      <w:pPr>
        <w:ind w:left="2880" w:hanging="360"/>
      </w:pPr>
    </w:lvl>
    <w:lvl w:ilvl="4" w:tplc="A3A0A65E">
      <w:start w:val="1"/>
      <w:numFmt w:val="lowerLetter"/>
      <w:lvlText w:val="%5."/>
      <w:lvlJc w:val="left"/>
      <w:pPr>
        <w:ind w:left="3600" w:hanging="360"/>
      </w:pPr>
    </w:lvl>
    <w:lvl w:ilvl="5" w:tplc="CF7A1E74">
      <w:start w:val="1"/>
      <w:numFmt w:val="lowerRoman"/>
      <w:lvlText w:val="%6."/>
      <w:lvlJc w:val="right"/>
      <w:pPr>
        <w:ind w:left="4320" w:hanging="180"/>
      </w:pPr>
    </w:lvl>
    <w:lvl w:ilvl="6" w:tplc="D1040A0C">
      <w:start w:val="1"/>
      <w:numFmt w:val="decimal"/>
      <w:lvlText w:val="%7."/>
      <w:lvlJc w:val="left"/>
      <w:pPr>
        <w:ind w:left="5040" w:hanging="360"/>
      </w:pPr>
    </w:lvl>
    <w:lvl w:ilvl="7" w:tplc="E3B05D0C">
      <w:start w:val="1"/>
      <w:numFmt w:val="lowerLetter"/>
      <w:lvlText w:val="%8."/>
      <w:lvlJc w:val="left"/>
      <w:pPr>
        <w:ind w:left="5760" w:hanging="360"/>
      </w:pPr>
    </w:lvl>
    <w:lvl w:ilvl="8" w:tplc="14F2FAC4">
      <w:start w:val="1"/>
      <w:numFmt w:val="lowerRoman"/>
      <w:lvlText w:val="%9."/>
      <w:lvlJc w:val="right"/>
      <w:pPr>
        <w:ind w:left="6480" w:hanging="180"/>
      </w:pPr>
    </w:lvl>
  </w:abstractNum>
  <w:abstractNum w:abstractNumId="6" w15:restartNumberingAfterBreak="0">
    <w:nsid w:val="0FED23AC"/>
    <w:multiLevelType w:val="hybridMultilevel"/>
    <w:tmpl w:val="632E3214"/>
    <w:lvl w:ilvl="0" w:tplc="0D2A52CE">
      <w:start w:val="1"/>
      <w:numFmt w:val="bullet"/>
      <w:lvlText w:val=""/>
      <w:lvlJc w:val="left"/>
      <w:pPr>
        <w:ind w:left="360" w:hanging="360"/>
      </w:pPr>
      <w:rPr>
        <w:rFonts w:ascii="Symbol" w:hAnsi="Symbol" w:hint="default"/>
      </w:rPr>
    </w:lvl>
    <w:lvl w:ilvl="1" w:tplc="3440E576" w:tentative="1">
      <w:start w:val="1"/>
      <w:numFmt w:val="bullet"/>
      <w:lvlText w:val="o"/>
      <w:lvlJc w:val="left"/>
      <w:pPr>
        <w:ind w:left="1080" w:hanging="360"/>
      </w:pPr>
      <w:rPr>
        <w:rFonts w:ascii="Courier New" w:hAnsi="Courier New" w:cs="Courier New" w:hint="default"/>
      </w:rPr>
    </w:lvl>
    <w:lvl w:ilvl="2" w:tplc="7B5C13A6" w:tentative="1">
      <w:start w:val="1"/>
      <w:numFmt w:val="bullet"/>
      <w:lvlText w:val=""/>
      <w:lvlJc w:val="left"/>
      <w:pPr>
        <w:ind w:left="1800" w:hanging="360"/>
      </w:pPr>
      <w:rPr>
        <w:rFonts w:ascii="Wingdings" w:hAnsi="Wingdings" w:hint="default"/>
      </w:rPr>
    </w:lvl>
    <w:lvl w:ilvl="3" w:tplc="403A668E" w:tentative="1">
      <w:start w:val="1"/>
      <w:numFmt w:val="bullet"/>
      <w:lvlText w:val=""/>
      <w:lvlJc w:val="left"/>
      <w:pPr>
        <w:ind w:left="2520" w:hanging="360"/>
      </w:pPr>
      <w:rPr>
        <w:rFonts w:ascii="Symbol" w:hAnsi="Symbol" w:hint="default"/>
      </w:rPr>
    </w:lvl>
    <w:lvl w:ilvl="4" w:tplc="F5181BE6" w:tentative="1">
      <w:start w:val="1"/>
      <w:numFmt w:val="bullet"/>
      <w:lvlText w:val="o"/>
      <w:lvlJc w:val="left"/>
      <w:pPr>
        <w:ind w:left="3240" w:hanging="360"/>
      </w:pPr>
      <w:rPr>
        <w:rFonts w:ascii="Courier New" w:hAnsi="Courier New" w:cs="Courier New" w:hint="default"/>
      </w:rPr>
    </w:lvl>
    <w:lvl w:ilvl="5" w:tplc="87FA0D8A" w:tentative="1">
      <w:start w:val="1"/>
      <w:numFmt w:val="bullet"/>
      <w:lvlText w:val=""/>
      <w:lvlJc w:val="left"/>
      <w:pPr>
        <w:ind w:left="3960" w:hanging="360"/>
      </w:pPr>
      <w:rPr>
        <w:rFonts w:ascii="Wingdings" w:hAnsi="Wingdings" w:hint="default"/>
      </w:rPr>
    </w:lvl>
    <w:lvl w:ilvl="6" w:tplc="D46E412E" w:tentative="1">
      <w:start w:val="1"/>
      <w:numFmt w:val="bullet"/>
      <w:lvlText w:val=""/>
      <w:lvlJc w:val="left"/>
      <w:pPr>
        <w:ind w:left="4680" w:hanging="360"/>
      </w:pPr>
      <w:rPr>
        <w:rFonts w:ascii="Symbol" w:hAnsi="Symbol" w:hint="default"/>
      </w:rPr>
    </w:lvl>
    <w:lvl w:ilvl="7" w:tplc="0A64EDDC" w:tentative="1">
      <w:start w:val="1"/>
      <w:numFmt w:val="bullet"/>
      <w:lvlText w:val="o"/>
      <w:lvlJc w:val="left"/>
      <w:pPr>
        <w:ind w:left="5400" w:hanging="360"/>
      </w:pPr>
      <w:rPr>
        <w:rFonts w:ascii="Courier New" w:hAnsi="Courier New" w:cs="Courier New" w:hint="default"/>
      </w:rPr>
    </w:lvl>
    <w:lvl w:ilvl="8" w:tplc="CED2FCB0" w:tentative="1">
      <w:start w:val="1"/>
      <w:numFmt w:val="bullet"/>
      <w:lvlText w:val=""/>
      <w:lvlJc w:val="left"/>
      <w:pPr>
        <w:ind w:left="6120" w:hanging="360"/>
      </w:pPr>
      <w:rPr>
        <w:rFonts w:ascii="Wingdings" w:hAnsi="Wingdings" w:hint="default"/>
      </w:rPr>
    </w:lvl>
  </w:abstractNum>
  <w:abstractNum w:abstractNumId="7" w15:restartNumberingAfterBreak="0">
    <w:nsid w:val="14274820"/>
    <w:multiLevelType w:val="hybridMultilevel"/>
    <w:tmpl w:val="0C44F08A"/>
    <w:lvl w:ilvl="0" w:tplc="DCBA6446">
      <w:start w:val="1"/>
      <w:numFmt w:val="bullet"/>
      <w:lvlText w:val=""/>
      <w:lvlJc w:val="left"/>
      <w:pPr>
        <w:ind w:left="360" w:hanging="360"/>
      </w:pPr>
      <w:rPr>
        <w:rFonts w:ascii="Symbol" w:hAnsi="Symbol" w:hint="default"/>
      </w:rPr>
    </w:lvl>
    <w:lvl w:ilvl="1" w:tplc="4C26ACC4">
      <w:start w:val="1"/>
      <w:numFmt w:val="bullet"/>
      <w:lvlText w:val="o"/>
      <w:lvlJc w:val="left"/>
      <w:pPr>
        <w:ind w:left="1080" w:hanging="360"/>
      </w:pPr>
      <w:rPr>
        <w:rFonts w:ascii="Courier New" w:hAnsi="Courier New" w:cs="Courier New" w:hint="default"/>
      </w:rPr>
    </w:lvl>
    <w:lvl w:ilvl="2" w:tplc="60122956" w:tentative="1">
      <w:start w:val="1"/>
      <w:numFmt w:val="bullet"/>
      <w:lvlText w:val=""/>
      <w:lvlJc w:val="left"/>
      <w:pPr>
        <w:ind w:left="1800" w:hanging="360"/>
      </w:pPr>
      <w:rPr>
        <w:rFonts w:ascii="Wingdings" w:hAnsi="Wingdings" w:hint="default"/>
      </w:rPr>
    </w:lvl>
    <w:lvl w:ilvl="3" w:tplc="2116970C" w:tentative="1">
      <w:start w:val="1"/>
      <w:numFmt w:val="bullet"/>
      <w:lvlText w:val=""/>
      <w:lvlJc w:val="left"/>
      <w:pPr>
        <w:ind w:left="2520" w:hanging="360"/>
      </w:pPr>
      <w:rPr>
        <w:rFonts w:ascii="Symbol" w:hAnsi="Symbol" w:hint="default"/>
      </w:rPr>
    </w:lvl>
    <w:lvl w:ilvl="4" w:tplc="1C96E956" w:tentative="1">
      <w:start w:val="1"/>
      <w:numFmt w:val="bullet"/>
      <w:lvlText w:val="o"/>
      <w:lvlJc w:val="left"/>
      <w:pPr>
        <w:ind w:left="3240" w:hanging="360"/>
      </w:pPr>
      <w:rPr>
        <w:rFonts w:ascii="Courier New" w:hAnsi="Courier New" w:cs="Courier New" w:hint="default"/>
      </w:rPr>
    </w:lvl>
    <w:lvl w:ilvl="5" w:tplc="20D87B6C" w:tentative="1">
      <w:start w:val="1"/>
      <w:numFmt w:val="bullet"/>
      <w:lvlText w:val=""/>
      <w:lvlJc w:val="left"/>
      <w:pPr>
        <w:ind w:left="3960" w:hanging="360"/>
      </w:pPr>
      <w:rPr>
        <w:rFonts w:ascii="Wingdings" w:hAnsi="Wingdings" w:hint="default"/>
      </w:rPr>
    </w:lvl>
    <w:lvl w:ilvl="6" w:tplc="814A9256" w:tentative="1">
      <w:start w:val="1"/>
      <w:numFmt w:val="bullet"/>
      <w:lvlText w:val=""/>
      <w:lvlJc w:val="left"/>
      <w:pPr>
        <w:ind w:left="4680" w:hanging="360"/>
      </w:pPr>
      <w:rPr>
        <w:rFonts w:ascii="Symbol" w:hAnsi="Symbol" w:hint="default"/>
      </w:rPr>
    </w:lvl>
    <w:lvl w:ilvl="7" w:tplc="8F7C0F86" w:tentative="1">
      <w:start w:val="1"/>
      <w:numFmt w:val="bullet"/>
      <w:lvlText w:val="o"/>
      <w:lvlJc w:val="left"/>
      <w:pPr>
        <w:ind w:left="5400" w:hanging="360"/>
      </w:pPr>
      <w:rPr>
        <w:rFonts w:ascii="Courier New" w:hAnsi="Courier New" w:cs="Courier New" w:hint="default"/>
      </w:rPr>
    </w:lvl>
    <w:lvl w:ilvl="8" w:tplc="CB980F8C" w:tentative="1">
      <w:start w:val="1"/>
      <w:numFmt w:val="bullet"/>
      <w:lvlText w:val=""/>
      <w:lvlJc w:val="left"/>
      <w:pPr>
        <w:ind w:left="6120" w:hanging="360"/>
      </w:pPr>
      <w:rPr>
        <w:rFonts w:ascii="Wingdings" w:hAnsi="Wingdings" w:hint="default"/>
      </w:rPr>
    </w:lvl>
  </w:abstractNum>
  <w:abstractNum w:abstractNumId="8" w15:restartNumberingAfterBreak="0">
    <w:nsid w:val="18702BC1"/>
    <w:multiLevelType w:val="hybridMultilevel"/>
    <w:tmpl w:val="898A1E9C"/>
    <w:lvl w:ilvl="0" w:tplc="28720342">
      <w:start w:val="1"/>
      <w:numFmt w:val="bullet"/>
      <w:lvlText w:val=""/>
      <w:lvlJc w:val="left"/>
      <w:pPr>
        <w:tabs>
          <w:tab w:val="num" w:pos="284"/>
        </w:tabs>
        <w:ind w:left="284" w:hanging="284"/>
      </w:pPr>
      <w:rPr>
        <w:rFonts w:ascii="Symbol" w:hAnsi="Symbol" w:hint="default"/>
        <w:sz w:val="20"/>
        <w:szCs w:val="20"/>
      </w:rPr>
    </w:lvl>
    <w:lvl w:ilvl="1" w:tplc="671AC6FE" w:tentative="1">
      <w:start w:val="1"/>
      <w:numFmt w:val="bullet"/>
      <w:lvlText w:val="o"/>
      <w:lvlJc w:val="left"/>
      <w:pPr>
        <w:tabs>
          <w:tab w:val="num" w:pos="1440"/>
        </w:tabs>
        <w:ind w:left="1440" w:hanging="360"/>
      </w:pPr>
      <w:rPr>
        <w:rFonts w:ascii="Courier New" w:hAnsi="Courier New" w:cs="Courier New" w:hint="default"/>
      </w:rPr>
    </w:lvl>
    <w:lvl w:ilvl="2" w:tplc="A9C8E2DE" w:tentative="1">
      <w:start w:val="1"/>
      <w:numFmt w:val="bullet"/>
      <w:lvlText w:val=""/>
      <w:lvlJc w:val="left"/>
      <w:pPr>
        <w:tabs>
          <w:tab w:val="num" w:pos="2160"/>
        </w:tabs>
        <w:ind w:left="2160" w:hanging="360"/>
      </w:pPr>
      <w:rPr>
        <w:rFonts w:ascii="Wingdings" w:hAnsi="Wingdings" w:hint="default"/>
      </w:rPr>
    </w:lvl>
    <w:lvl w:ilvl="3" w:tplc="F5A2D4A0" w:tentative="1">
      <w:start w:val="1"/>
      <w:numFmt w:val="bullet"/>
      <w:lvlText w:val=""/>
      <w:lvlJc w:val="left"/>
      <w:pPr>
        <w:tabs>
          <w:tab w:val="num" w:pos="2880"/>
        </w:tabs>
        <w:ind w:left="2880" w:hanging="360"/>
      </w:pPr>
      <w:rPr>
        <w:rFonts w:ascii="Symbol" w:hAnsi="Symbol" w:hint="default"/>
      </w:rPr>
    </w:lvl>
    <w:lvl w:ilvl="4" w:tplc="751639B8" w:tentative="1">
      <w:start w:val="1"/>
      <w:numFmt w:val="bullet"/>
      <w:lvlText w:val="o"/>
      <w:lvlJc w:val="left"/>
      <w:pPr>
        <w:tabs>
          <w:tab w:val="num" w:pos="3600"/>
        </w:tabs>
        <w:ind w:left="3600" w:hanging="360"/>
      </w:pPr>
      <w:rPr>
        <w:rFonts w:ascii="Courier New" w:hAnsi="Courier New" w:cs="Courier New" w:hint="default"/>
      </w:rPr>
    </w:lvl>
    <w:lvl w:ilvl="5" w:tplc="9E3AC818" w:tentative="1">
      <w:start w:val="1"/>
      <w:numFmt w:val="bullet"/>
      <w:lvlText w:val=""/>
      <w:lvlJc w:val="left"/>
      <w:pPr>
        <w:tabs>
          <w:tab w:val="num" w:pos="4320"/>
        </w:tabs>
        <w:ind w:left="4320" w:hanging="360"/>
      </w:pPr>
      <w:rPr>
        <w:rFonts w:ascii="Wingdings" w:hAnsi="Wingdings" w:hint="default"/>
      </w:rPr>
    </w:lvl>
    <w:lvl w:ilvl="6" w:tplc="C636B9A6" w:tentative="1">
      <w:start w:val="1"/>
      <w:numFmt w:val="bullet"/>
      <w:lvlText w:val=""/>
      <w:lvlJc w:val="left"/>
      <w:pPr>
        <w:tabs>
          <w:tab w:val="num" w:pos="5040"/>
        </w:tabs>
        <w:ind w:left="5040" w:hanging="360"/>
      </w:pPr>
      <w:rPr>
        <w:rFonts w:ascii="Symbol" w:hAnsi="Symbol" w:hint="default"/>
      </w:rPr>
    </w:lvl>
    <w:lvl w:ilvl="7" w:tplc="957AEC5E" w:tentative="1">
      <w:start w:val="1"/>
      <w:numFmt w:val="bullet"/>
      <w:lvlText w:val="o"/>
      <w:lvlJc w:val="left"/>
      <w:pPr>
        <w:tabs>
          <w:tab w:val="num" w:pos="5760"/>
        </w:tabs>
        <w:ind w:left="5760" w:hanging="360"/>
      </w:pPr>
      <w:rPr>
        <w:rFonts w:ascii="Courier New" w:hAnsi="Courier New" w:cs="Courier New" w:hint="default"/>
      </w:rPr>
    </w:lvl>
    <w:lvl w:ilvl="8" w:tplc="65DC43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02A66"/>
    <w:multiLevelType w:val="hybridMultilevel"/>
    <w:tmpl w:val="D278BE36"/>
    <w:lvl w:ilvl="0" w:tplc="7424FCFA">
      <w:start w:val="1"/>
      <w:numFmt w:val="bullet"/>
      <w:lvlText w:val=""/>
      <w:lvlJc w:val="left"/>
      <w:pPr>
        <w:ind w:left="360" w:hanging="360"/>
      </w:pPr>
      <w:rPr>
        <w:rFonts w:ascii="Symbol" w:hAnsi="Symbol" w:hint="default"/>
      </w:rPr>
    </w:lvl>
    <w:lvl w:ilvl="1" w:tplc="B5AE7846" w:tentative="1">
      <w:start w:val="1"/>
      <w:numFmt w:val="bullet"/>
      <w:lvlText w:val="o"/>
      <w:lvlJc w:val="left"/>
      <w:pPr>
        <w:ind w:left="1080" w:hanging="360"/>
      </w:pPr>
      <w:rPr>
        <w:rFonts w:ascii="Courier New" w:hAnsi="Courier New" w:cs="Courier New" w:hint="default"/>
      </w:rPr>
    </w:lvl>
    <w:lvl w:ilvl="2" w:tplc="792C1F4C" w:tentative="1">
      <w:start w:val="1"/>
      <w:numFmt w:val="bullet"/>
      <w:lvlText w:val=""/>
      <w:lvlJc w:val="left"/>
      <w:pPr>
        <w:ind w:left="1800" w:hanging="360"/>
      </w:pPr>
      <w:rPr>
        <w:rFonts w:ascii="Wingdings" w:hAnsi="Wingdings" w:hint="default"/>
      </w:rPr>
    </w:lvl>
    <w:lvl w:ilvl="3" w:tplc="21AAF10C" w:tentative="1">
      <w:start w:val="1"/>
      <w:numFmt w:val="bullet"/>
      <w:lvlText w:val=""/>
      <w:lvlJc w:val="left"/>
      <w:pPr>
        <w:ind w:left="2520" w:hanging="360"/>
      </w:pPr>
      <w:rPr>
        <w:rFonts w:ascii="Symbol" w:hAnsi="Symbol" w:hint="default"/>
      </w:rPr>
    </w:lvl>
    <w:lvl w:ilvl="4" w:tplc="1B061094" w:tentative="1">
      <w:start w:val="1"/>
      <w:numFmt w:val="bullet"/>
      <w:lvlText w:val="o"/>
      <w:lvlJc w:val="left"/>
      <w:pPr>
        <w:ind w:left="3240" w:hanging="360"/>
      </w:pPr>
      <w:rPr>
        <w:rFonts w:ascii="Courier New" w:hAnsi="Courier New" w:cs="Courier New" w:hint="default"/>
      </w:rPr>
    </w:lvl>
    <w:lvl w:ilvl="5" w:tplc="6B086C14" w:tentative="1">
      <w:start w:val="1"/>
      <w:numFmt w:val="bullet"/>
      <w:lvlText w:val=""/>
      <w:lvlJc w:val="left"/>
      <w:pPr>
        <w:ind w:left="3960" w:hanging="360"/>
      </w:pPr>
      <w:rPr>
        <w:rFonts w:ascii="Wingdings" w:hAnsi="Wingdings" w:hint="default"/>
      </w:rPr>
    </w:lvl>
    <w:lvl w:ilvl="6" w:tplc="CB621172" w:tentative="1">
      <w:start w:val="1"/>
      <w:numFmt w:val="bullet"/>
      <w:lvlText w:val=""/>
      <w:lvlJc w:val="left"/>
      <w:pPr>
        <w:ind w:left="4680" w:hanging="360"/>
      </w:pPr>
      <w:rPr>
        <w:rFonts w:ascii="Symbol" w:hAnsi="Symbol" w:hint="default"/>
      </w:rPr>
    </w:lvl>
    <w:lvl w:ilvl="7" w:tplc="A85A0072" w:tentative="1">
      <w:start w:val="1"/>
      <w:numFmt w:val="bullet"/>
      <w:lvlText w:val="o"/>
      <w:lvlJc w:val="left"/>
      <w:pPr>
        <w:ind w:left="5400" w:hanging="360"/>
      </w:pPr>
      <w:rPr>
        <w:rFonts w:ascii="Courier New" w:hAnsi="Courier New" w:cs="Courier New" w:hint="default"/>
      </w:rPr>
    </w:lvl>
    <w:lvl w:ilvl="8" w:tplc="90B0373E" w:tentative="1">
      <w:start w:val="1"/>
      <w:numFmt w:val="bullet"/>
      <w:lvlText w:val=""/>
      <w:lvlJc w:val="left"/>
      <w:pPr>
        <w:ind w:left="6120" w:hanging="360"/>
      </w:pPr>
      <w:rPr>
        <w:rFonts w:ascii="Wingdings" w:hAnsi="Wingdings" w:hint="default"/>
      </w:rPr>
    </w:lvl>
  </w:abstractNum>
  <w:abstractNum w:abstractNumId="10" w15:restartNumberingAfterBreak="0">
    <w:nsid w:val="204E76AF"/>
    <w:multiLevelType w:val="multilevel"/>
    <w:tmpl w:val="A0F8C94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D42236"/>
    <w:multiLevelType w:val="hybridMultilevel"/>
    <w:tmpl w:val="F348B86A"/>
    <w:lvl w:ilvl="0" w:tplc="4C163BB6">
      <w:start w:val="1"/>
      <w:numFmt w:val="bullet"/>
      <w:lvlText w:val=""/>
      <w:lvlJc w:val="left"/>
      <w:pPr>
        <w:tabs>
          <w:tab w:val="num" w:pos="-323"/>
        </w:tabs>
        <w:ind w:left="358" w:hanging="358"/>
      </w:pPr>
      <w:rPr>
        <w:rFonts w:ascii="Symbol" w:hAnsi="Symbol" w:hint="default"/>
        <w:sz w:val="20"/>
        <w:szCs w:val="20"/>
      </w:rPr>
    </w:lvl>
    <w:lvl w:ilvl="1" w:tplc="46A6DF24">
      <w:start w:val="1"/>
      <w:numFmt w:val="bullet"/>
      <w:lvlText w:val="o"/>
      <w:lvlJc w:val="left"/>
      <w:pPr>
        <w:tabs>
          <w:tab w:val="num" w:pos="760"/>
        </w:tabs>
        <w:ind w:left="760" w:hanging="360"/>
      </w:pPr>
      <w:rPr>
        <w:rFonts w:ascii="Courier New" w:hAnsi="Courier New" w:cs="Courier New" w:hint="default"/>
      </w:rPr>
    </w:lvl>
    <w:lvl w:ilvl="2" w:tplc="FDF41920" w:tentative="1">
      <w:start w:val="1"/>
      <w:numFmt w:val="bullet"/>
      <w:lvlText w:val=""/>
      <w:lvlJc w:val="left"/>
      <w:pPr>
        <w:tabs>
          <w:tab w:val="num" w:pos="1480"/>
        </w:tabs>
        <w:ind w:left="1480" w:hanging="360"/>
      </w:pPr>
      <w:rPr>
        <w:rFonts w:ascii="Wingdings" w:hAnsi="Wingdings" w:hint="default"/>
      </w:rPr>
    </w:lvl>
    <w:lvl w:ilvl="3" w:tplc="64A81010" w:tentative="1">
      <w:start w:val="1"/>
      <w:numFmt w:val="bullet"/>
      <w:lvlText w:val=""/>
      <w:lvlJc w:val="left"/>
      <w:pPr>
        <w:tabs>
          <w:tab w:val="num" w:pos="2200"/>
        </w:tabs>
        <w:ind w:left="2200" w:hanging="360"/>
      </w:pPr>
      <w:rPr>
        <w:rFonts w:ascii="Symbol" w:hAnsi="Symbol" w:hint="default"/>
      </w:rPr>
    </w:lvl>
    <w:lvl w:ilvl="4" w:tplc="96CC9456" w:tentative="1">
      <w:start w:val="1"/>
      <w:numFmt w:val="bullet"/>
      <w:lvlText w:val="o"/>
      <w:lvlJc w:val="left"/>
      <w:pPr>
        <w:tabs>
          <w:tab w:val="num" w:pos="2920"/>
        </w:tabs>
        <w:ind w:left="2920" w:hanging="360"/>
      </w:pPr>
      <w:rPr>
        <w:rFonts w:ascii="Courier New" w:hAnsi="Courier New" w:cs="Courier New" w:hint="default"/>
      </w:rPr>
    </w:lvl>
    <w:lvl w:ilvl="5" w:tplc="46382916" w:tentative="1">
      <w:start w:val="1"/>
      <w:numFmt w:val="bullet"/>
      <w:lvlText w:val=""/>
      <w:lvlJc w:val="left"/>
      <w:pPr>
        <w:tabs>
          <w:tab w:val="num" w:pos="3640"/>
        </w:tabs>
        <w:ind w:left="3640" w:hanging="360"/>
      </w:pPr>
      <w:rPr>
        <w:rFonts w:ascii="Wingdings" w:hAnsi="Wingdings" w:hint="default"/>
      </w:rPr>
    </w:lvl>
    <w:lvl w:ilvl="6" w:tplc="8348C8C2" w:tentative="1">
      <w:start w:val="1"/>
      <w:numFmt w:val="bullet"/>
      <w:lvlText w:val=""/>
      <w:lvlJc w:val="left"/>
      <w:pPr>
        <w:tabs>
          <w:tab w:val="num" w:pos="4360"/>
        </w:tabs>
        <w:ind w:left="4360" w:hanging="360"/>
      </w:pPr>
      <w:rPr>
        <w:rFonts w:ascii="Symbol" w:hAnsi="Symbol" w:hint="default"/>
      </w:rPr>
    </w:lvl>
    <w:lvl w:ilvl="7" w:tplc="45982E78" w:tentative="1">
      <w:start w:val="1"/>
      <w:numFmt w:val="bullet"/>
      <w:lvlText w:val="o"/>
      <w:lvlJc w:val="left"/>
      <w:pPr>
        <w:tabs>
          <w:tab w:val="num" w:pos="5080"/>
        </w:tabs>
        <w:ind w:left="5080" w:hanging="360"/>
      </w:pPr>
      <w:rPr>
        <w:rFonts w:ascii="Courier New" w:hAnsi="Courier New" w:cs="Courier New" w:hint="default"/>
      </w:rPr>
    </w:lvl>
    <w:lvl w:ilvl="8" w:tplc="03345CE6" w:tentative="1">
      <w:start w:val="1"/>
      <w:numFmt w:val="bullet"/>
      <w:lvlText w:val=""/>
      <w:lvlJc w:val="left"/>
      <w:pPr>
        <w:tabs>
          <w:tab w:val="num" w:pos="5800"/>
        </w:tabs>
        <w:ind w:left="5800" w:hanging="360"/>
      </w:pPr>
      <w:rPr>
        <w:rFonts w:ascii="Wingdings" w:hAnsi="Wingdings" w:hint="default"/>
      </w:rPr>
    </w:lvl>
  </w:abstractNum>
  <w:abstractNum w:abstractNumId="12" w15:restartNumberingAfterBreak="0">
    <w:nsid w:val="21E059EC"/>
    <w:multiLevelType w:val="hybridMultilevel"/>
    <w:tmpl w:val="D8F23EC0"/>
    <w:lvl w:ilvl="0" w:tplc="636812F0">
      <w:start w:val="1"/>
      <w:numFmt w:val="decimal"/>
      <w:lvlText w:val="%1."/>
      <w:lvlJc w:val="left"/>
      <w:pPr>
        <w:ind w:left="360" w:hanging="360"/>
      </w:pPr>
    </w:lvl>
    <w:lvl w:ilvl="1" w:tplc="DDD6EE8E" w:tentative="1">
      <w:start w:val="1"/>
      <w:numFmt w:val="lowerLetter"/>
      <w:lvlText w:val="%2."/>
      <w:lvlJc w:val="left"/>
      <w:pPr>
        <w:ind w:left="1080" w:hanging="360"/>
      </w:pPr>
    </w:lvl>
    <w:lvl w:ilvl="2" w:tplc="7F38F01C" w:tentative="1">
      <w:start w:val="1"/>
      <w:numFmt w:val="lowerRoman"/>
      <w:lvlText w:val="%3."/>
      <w:lvlJc w:val="right"/>
      <w:pPr>
        <w:ind w:left="1800" w:hanging="180"/>
      </w:pPr>
    </w:lvl>
    <w:lvl w:ilvl="3" w:tplc="F41A09C4" w:tentative="1">
      <w:start w:val="1"/>
      <w:numFmt w:val="decimal"/>
      <w:lvlText w:val="%4."/>
      <w:lvlJc w:val="left"/>
      <w:pPr>
        <w:ind w:left="2520" w:hanging="360"/>
      </w:pPr>
    </w:lvl>
    <w:lvl w:ilvl="4" w:tplc="1188E45C" w:tentative="1">
      <w:start w:val="1"/>
      <w:numFmt w:val="lowerLetter"/>
      <w:lvlText w:val="%5."/>
      <w:lvlJc w:val="left"/>
      <w:pPr>
        <w:ind w:left="3240" w:hanging="360"/>
      </w:pPr>
    </w:lvl>
    <w:lvl w:ilvl="5" w:tplc="39F83F6A" w:tentative="1">
      <w:start w:val="1"/>
      <w:numFmt w:val="lowerRoman"/>
      <w:lvlText w:val="%6."/>
      <w:lvlJc w:val="right"/>
      <w:pPr>
        <w:ind w:left="3960" w:hanging="180"/>
      </w:pPr>
    </w:lvl>
    <w:lvl w:ilvl="6" w:tplc="437AF946" w:tentative="1">
      <w:start w:val="1"/>
      <w:numFmt w:val="decimal"/>
      <w:lvlText w:val="%7."/>
      <w:lvlJc w:val="left"/>
      <w:pPr>
        <w:ind w:left="4680" w:hanging="360"/>
      </w:pPr>
    </w:lvl>
    <w:lvl w:ilvl="7" w:tplc="AECEBDFC" w:tentative="1">
      <w:start w:val="1"/>
      <w:numFmt w:val="lowerLetter"/>
      <w:lvlText w:val="%8."/>
      <w:lvlJc w:val="left"/>
      <w:pPr>
        <w:ind w:left="5400" w:hanging="360"/>
      </w:pPr>
    </w:lvl>
    <w:lvl w:ilvl="8" w:tplc="135405C8" w:tentative="1">
      <w:start w:val="1"/>
      <w:numFmt w:val="lowerRoman"/>
      <w:lvlText w:val="%9."/>
      <w:lvlJc w:val="right"/>
      <w:pPr>
        <w:ind w:left="6120" w:hanging="180"/>
      </w:pPr>
    </w:lvl>
  </w:abstractNum>
  <w:abstractNum w:abstractNumId="13" w15:restartNumberingAfterBreak="0">
    <w:nsid w:val="22000C76"/>
    <w:multiLevelType w:val="hybridMultilevel"/>
    <w:tmpl w:val="E97CDCDC"/>
    <w:lvl w:ilvl="0" w:tplc="7C4E1A4C">
      <w:start w:val="1"/>
      <w:numFmt w:val="bullet"/>
      <w:lvlText w:val=""/>
      <w:lvlJc w:val="left"/>
      <w:pPr>
        <w:tabs>
          <w:tab w:val="num" w:pos="284"/>
        </w:tabs>
        <w:ind w:left="284" w:hanging="284"/>
      </w:pPr>
      <w:rPr>
        <w:rFonts w:ascii="Symbol" w:hAnsi="Symbol" w:hint="default"/>
        <w:color w:val="auto"/>
      </w:rPr>
    </w:lvl>
    <w:lvl w:ilvl="1" w:tplc="5566BA74">
      <w:start w:val="1"/>
      <w:numFmt w:val="bullet"/>
      <w:lvlText w:val=""/>
      <w:lvlJc w:val="left"/>
      <w:pPr>
        <w:tabs>
          <w:tab w:val="num" w:pos="1327"/>
        </w:tabs>
        <w:ind w:left="1327" w:hanging="360"/>
      </w:pPr>
      <w:rPr>
        <w:rFonts w:ascii="Symbol" w:hAnsi="Symbol" w:hint="default"/>
      </w:rPr>
    </w:lvl>
    <w:lvl w:ilvl="2" w:tplc="6CE2A182">
      <w:start w:val="1"/>
      <w:numFmt w:val="bullet"/>
      <w:lvlText w:val=""/>
      <w:lvlJc w:val="left"/>
      <w:pPr>
        <w:tabs>
          <w:tab w:val="num" w:pos="2047"/>
        </w:tabs>
        <w:ind w:left="2047" w:hanging="360"/>
      </w:pPr>
      <w:rPr>
        <w:rFonts w:ascii="Wingdings" w:hAnsi="Wingdings" w:hint="default"/>
      </w:rPr>
    </w:lvl>
    <w:lvl w:ilvl="3" w:tplc="61A2F570" w:tentative="1">
      <w:start w:val="1"/>
      <w:numFmt w:val="bullet"/>
      <w:lvlText w:val=""/>
      <w:lvlJc w:val="left"/>
      <w:pPr>
        <w:tabs>
          <w:tab w:val="num" w:pos="2767"/>
        </w:tabs>
        <w:ind w:left="2767" w:hanging="360"/>
      </w:pPr>
      <w:rPr>
        <w:rFonts w:ascii="Symbol" w:hAnsi="Symbol" w:hint="default"/>
      </w:rPr>
    </w:lvl>
    <w:lvl w:ilvl="4" w:tplc="4F7478B0" w:tentative="1">
      <w:start w:val="1"/>
      <w:numFmt w:val="bullet"/>
      <w:lvlText w:val="o"/>
      <w:lvlJc w:val="left"/>
      <w:pPr>
        <w:tabs>
          <w:tab w:val="num" w:pos="3487"/>
        </w:tabs>
        <w:ind w:left="3487" w:hanging="360"/>
      </w:pPr>
      <w:rPr>
        <w:rFonts w:ascii="Courier New" w:hAnsi="Courier New" w:cs="Courier New" w:hint="default"/>
      </w:rPr>
    </w:lvl>
    <w:lvl w:ilvl="5" w:tplc="66F2E572" w:tentative="1">
      <w:start w:val="1"/>
      <w:numFmt w:val="bullet"/>
      <w:lvlText w:val=""/>
      <w:lvlJc w:val="left"/>
      <w:pPr>
        <w:tabs>
          <w:tab w:val="num" w:pos="4207"/>
        </w:tabs>
        <w:ind w:left="4207" w:hanging="360"/>
      </w:pPr>
      <w:rPr>
        <w:rFonts w:ascii="Wingdings" w:hAnsi="Wingdings" w:hint="default"/>
      </w:rPr>
    </w:lvl>
    <w:lvl w:ilvl="6" w:tplc="C82A9B22" w:tentative="1">
      <w:start w:val="1"/>
      <w:numFmt w:val="bullet"/>
      <w:lvlText w:val=""/>
      <w:lvlJc w:val="left"/>
      <w:pPr>
        <w:tabs>
          <w:tab w:val="num" w:pos="4927"/>
        </w:tabs>
        <w:ind w:left="4927" w:hanging="360"/>
      </w:pPr>
      <w:rPr>
        <w:rFonts w:ascii="Symbol" w:hAnsi="Symbol" w:hint="default"/>
      </w:rPr>
    </w:lvl>
    <w:lvl w:ilvl="7" w:tplc="CCB01BF0" w:tentative="1">
      <w:start w:val="1"/>
      <w:numFmt w:val="bullet"/>
      <w:lvlText w:val="o"/>
      <w:lvlJc w:val="left"/>
      <w:pPr>
        <w:tabs>
          <w:tab w:val="num" w:pos="5647"/>
        </w:tabs>
        <w:ind w:left="5647" w:hanging="360"/>
      </w:pPr>
      <w:rPr>
        <w:rFonts w:ascii="Courier New" w:hAnsi="Courier New" w:cs="Courier New" w:hint="default"/>
      </w:rPr>
    </w:lvl>
    <w:lvl w:ilvl="8" w:tplc="481473B8"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2566CB9"/>
    <w:multiLevelType w:val="hybridMultilevel"/>
    <w:tmpl w:val="6956662C"/>
    <w:lvl w:ilvl="0" w:tplc="925C819E">
      <w:start w:val="1"/>
      <w:numFmt w:val="lowerLetter"/>
      <w:lvlText w:val="%1"/>
      <w:lvlJc w:val="left"/>
      <w:pPr>
        <w:ind w:left="720" w:hanging="360"/>
      </w:pPr>
      <w:rPr>
        <w:rFonts w:hint="default"/>
      </w:rPr>
    </w:lvl>
    <w:lvl w:ilvl="1" w:tplc="131ECC46" w:tentative="1">
      <w:start w:val="1"/>
      <w:numFmt w:val="lowerLetter"/>
      <w:lvlText w:val="%2."/>
      <w:lvlJc w:val="left"/>
      <w:pPr>
        <w:ind w:left="1440" w:hanging="360"/>
      </w:pPr>
    </w:lvl>
    <w:lvl w:ilvl="2" w:tplc="25F20750" w:tentative="1">
      <w:start w:val="1"/>
      <w:numFmt w:val="lowerRoman"/>
      <w:lvlText w:val="%3."/>
      <w:lvlJc w:val="right"/>
      <w:pPr>
        <w:ind w:left="2160" w:hanging="180"/>
      </w:pPr>
    </w:lvl>
    <w:lvl w:ilvl="3" w:tplc="E3E8EAE0" w:tentative="1">
      <w:start w:val="1"/>
      <w:numFmt w:val="decimal"/>
      <w:lvlText w:val="%4."/>
      <w:lvlJc w:val="left"/>
      <w:pPr>
        <w:ind w:left="2880" w:hanging="360"/>
      </w:pPr>
    </w:lvl>
    <w:lvl w:ilvl="4" w:tplc="1D967E1C" w:tentative="1">
      <w:start w:val="1"/>
      <w:numFmt w:val="lowerLetter"/>
      <w:lvlText w:val="%5."/>
      <w:lvlJc w:val="left"/>
      <w:pPr>
        <w:ind w:left="3600" w:hanging="360"/>
      </w:pPr>
    </w:lvl>
    <w:lvl w:ilvl="5" w:tplc="7B76FF2C" w:tentative="1">
      <w:start w:val="1"/>
      <w:numFmt w:val="lowerRoman"/>
      <w:lvlText w:val="%6."/>
      <w:lvlJc w:val="right"/>
      <w:pPr>
        <w:ind w:left="4320" w:hanging="180"/>
      </w:pPr>
    </w:lvl>
    <w:lvl w:ilvl="6" w:tplc="E394355A" w:tentative="1">
      <w:start w:val="1"/>
      <w:numFmt w:val="decimal"/>
      <w:lvlText w:val="%7."/>
      <w:lvlJc w:val="left"/>
      <w:pPr>
        <w:ind w:left="5040" w:hanging="360"/>
      </w:pPr>
    </w:lvl>
    <w:lvl w:ilvl="7" w:tplc="3FD2B202" w:tentative="1">
      <w:start w:val="1"/>
      <w:numFmt w:val="lowerLetter"/>
      <w:lvlText w:val="%8."/>
      <w:lvlJc w:val="left"/>
      <w:pPr>
        <w:ind w:left="5760" w:hanging="360"/>
      </w:pPr>
    </w:lvl>
    <w:lvl w:ilvl="8" w:tplc="63F62E4E" w:tentative="1">
      <w:start w:val="1"/>
      <w:numFmt w:val="lowerRoman"/>
      <w:lvlText w:val="%9."/>
      <w:lvlJc w:val="right"/>
      <w:pPr>
        <w:ind w:left="6480" w:hanging="180"/>
      </w:pPr>
    </w:lvl>
  </w:abstractNum>
  <w:abstractNum w:abstractNumId="15" w15:restartNumberingAfterBreak="0">
    <w:nsid w:val="2747117A"/>
    <w:multiLevelType w:val="hybridMultilevel"/>
    <w:tmpl w:val="3BF8EFF0"/>
    <w:lvl w:ilvl="0" w:tplc="152C9E3E">
      <w:start w:val="1"/>
      <w:numFmt w:val="bullet"/>
      <w:lvlText w:val=""/>
      <w:lvlJc w:val="left"/>
      <w:pPr>
        <w:tabs>
          <w:tab w:val="num" w:pos="284"/>
        </w:tabs>
        <w:ind w:left="284" w:hanging="284"/>
      </w:pPr>
      <w:rPr>
        <w:rFonts w:ascii="Symbol" w:hAnsi="Symbol" w:hint="default"/>
      </w:rPr>
    </w:lvl>
    <w:lvl w:ilvl="1" w:tplc="3172516E" w:tentative="1">
      <w:start w:val="1"/>
      <w:numFmt w:val="bullet"/>
      <w:lvlText w:val="o"/>
      <w:lvlJc w:val="left"/>
      <w:pPr>
        <w:tabs>
          <w:tab w:val="num" w:pos="1327"/>
        </w:tabs>
        <w:ind w:left="1327" w:hanging="360"/>
      </w:pPr>
      <w:rPr>
        <w:rFonts w:ascii="Courier New" w:hAnsi="Courier New" w:cs="Courier New" w:hint="default"/>
      </w:rPr>
    </w:lvl>
    <w:lvl w:ilvl="2" w:tplc="5B843392" w:tentative="1">
      <w:start w:val="1"/>
      <w:numFmt w:val="bullet"/>
      <w:lvlText w:val=""/>
      <w:lvlJc w:val="left"/>
      <w:pPr>
        <w:tabs>
          <w:tab w:val="num" w:pos="2047"/>
        </w:tabs>
        <w:ind w:left="2047" w:hanging="360"/>
      </w:pPr>
      <w:rPr>
        <w:rFonts w:ascii="Wingdings" w:hAnsi="Wingdings" w:hint="default"/>
      </w:rPr>
    </w:lvl>
    <w:lvl w:ilvl="3" w:tplc="B0E8301A" w:tentative="1">
      <w:start w:val="1"/>
      <w:numFmt w:val="bullet"/>
      <w:lvlText w:val=""/>
      <w:lvlJc w:val="left"/>
      <w:pPr>
        <w:tabs>
          <w:tab w:val="num" w:pos="2767"/>
        </w:tabs>
        <w:ind w:left="2767" w:hanging="360"/>
      </w:pPr>
      <w:rPr>
        <w:rFonts w:ascii="Symbol" w:hAnsi="Symbol" w:hint="default"/>
      </w:rPr>
    </w:lvl>
    <w:lvl w:ilvl="4" w:tplc="9B2C71CA" w:tentative="1">
      <w:start w:val="1"/>
      <w:numFmt w:val="bullet"/>
      <w:lvlText w:val="o"/>
      <w:lvlJc w:val="left"/>
      <w:pPr>
        <w:tabs>
          <w:tab w:val="num" w:pos="3487"/>
        </w:tabs>
        <w:ind w:left="3487" w:hanging="360"/>
      </w:pPr>
      <w:rPr>
        <w:rFonts w:ascii="Courier New" w:hAnsi="Courier New" w:cs="Courier New" w:hint="default"/>
      </w:rPr>
    </w:lvl>
    <w:lvl w:ilvl="5" w:tplc="AC4A1130" w:tentative="1">
      <w:start w:val="1"/>
      <w:numFmt w:val="bullet"/>
      <w:lvlText w:val=""/>
      <w:lvlJc w:val="left"/>
      <w:pPr>
        <w:tabs>
          <w:tab w:val="num" w:pos="4207"/>
        </w:tabs>
        <w:ind w:left="4207" w:hanging="360"/>
      </w:pPr>
      <w:rPr>
        <w:rFonts w:ascii="Wingdings" w:hAnsi="Wingdings" w:hint="default"/>
      </w:rPr>
    </w:lvl>
    <w:lvl w:ilvl="6" w:tplc="A7DEA4A8" w:tentative="1">
      <w:start w:val="1"/>
      <w:numFmt w:val="bullet"/>
      <w:lvlText w:val=""/>
      <w:lvlJc w:val="left"/>
      <w:pPr>
        <w:tabs>
          <w:tab w:val="num" w:pos="4927"/>
        </w:tabs>
        <w:ind w:left="4927" w:hanging="360"/>
      </w:pPr>
      <w:rPr>
        <w:rFonts w:ascii="Symbol" w:hAnsi="Symbol" w:hint="default"/>
      </w:rPr>
    </w:lvl>
    <w:lvl w:ilvl="7" w:tplc="3BD6F9EA" w:tentative="1">
      <w:start w:val="1"/>
      <w:numFmt w:val="bullet"/>
      <w:lvlText w:val="o"/>
      <w:lvlJc w:val="left"/>
      <w:pPr>
        <w:tabs>
          <w:tab w:val="num" w:pos="5647"/>
        </w:tabs>
        <w:ind w:left="5647" w:hanging="360"/>
      </w:pPr>
      <w:rPr>
        <w:rFonts w:ascii="Courier New" w:hAnsi="Courier New" w:cs="Courier New" w:hint="default"/>
      </w:rPr>
    </w:lvl>
    <w:lvl w:ilvl="8" w:tplc="3E9E99FE"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2E135BD9"/>
    <w:multiLevelType w:val="hybridMultilevel"/>
    <w:tmpl w:val="DAD6C0E0"/>
    <w:lvl w:ilvl="0" w:tplc="8722C1BC">
      <w:start w:val="1"/>
      <w:numFmt w:val="bullet"/>
      <w:lvlText w:val=""/>
      <w:lvlJc w:val="left"/>
      <w:pPr>
        <w:tabs>
          <w:tab w:val="num" w:pos="397"/>
        </w:tabs>
        <w:ind w:left="397" w:hanging="397"/>
      </w:pPr>
      <w:rPr>
        <w:rFonts w:ascii="Symbol" w:hAnsi="Symbol" w:hint="default"/>
      </w:rPr>
    </w:lvl>
    <w:lvl w:ilvl="1" w:tplc="CCCE806A" w:tentative="1">
      <w:start w:val="1"/>
      <w:numFmt w:val="bullet"/>
      <w:lvlText w:val="o"/>
      <w:lvlJc w:val="left"/>
      <w:pPr>
        <w:tabs>
          <w:tab w:val="num" w:pos="1440"/>
        </w:tabs>
        <w:ind w:left="1440" w:hanging="360"/>
      </w:pPr>
      <w:rPr>
        <w:rFonts w:ascii="Courier New" w:hAnsi="Courier New" w:cs="Courier New" w:hint="default"/>
      </w:rPr>
    </w:lvl>
    <w:lvl w:ilvl="2" w:tplc="E842E9EA" w:tentative="1">
      <w:start w:val="1"/>
      <w:numFmt w:val="bullet"/>
      <w:lvlText w:val=""/>
      <w:lvlJc w:val="left"/>
      <w:pPr>
        <w:tabs>
          <w:tab w:val="num" w:pos="2160"/>
        </w:tabs>
        <w:ind w:left="2160" w:hanging="360"/>
      </w:pPr>
      <w:rPr>
        <w:rFonts w:ascii="Wingdings" w:hAnsi="Wingdings" w:hint="default"/>
      </w:rPr>
    </w:lvl>
    <w:lvl w:ilvl="3" w:tplc="4516DE58" w:tentative="1">
      <w:start w:val="1"/>
      <w:numFmt w:val="bullet"/>
      <w:lvlText w:val=""/>
      <w:lvlJc w:val="left"/>
      <w:pPr>
        <w:tabs>
          <w:tab w:val="num" w:pos="2880"/>
        </w:tabs>
        <w:ind w:left="2880" w:hanging="360"/>
      </w:pPr>
      <w:rPr>
        <w:rFonts w:ascii="Symbol" w:hAnsi="Symbol" w:hint="default"/>
      </w:rPr>
    </w:lvl>
    <w:lvl w:ilvl="4" w:tplc="708AD2D0" w:tentative="1">
      <w:start w:val="1"/>
      <w:numFmt w:val="bullet"/>
      <w:lvlText w:val="o"/>
      <w:lvlJc w:val="left"/>
      <w:pPr>
        <w:tabs>
          <w:tab w:val="num" w:pos="3600"/>
        </w:tabs>
        <w:ind w:left="3600" w:hanging="360"/>
      </w:pPr>
      <w:rPr>
        <w:rFonts w:ascii="Courier New" w:hAnsi="Courier New" w:cs="Courier New" w:hint="default"/>
      </w:rPr>
    </w:lvl>
    <w:lvl w:ilvl="5" w:tplc="343E7D04" w:tentative="1">
      <w:start w:val="1"/>
      <w:numFmt w:val="bullet"/>
      <w:lvlText w:val=""/>
      <w:lvlJc w:val="left"/>
      <w:pPr>
        <w:tabs>
          <w:tab w:val="num" w:pos="4320"/>
        </w:tabs>
        <w:ind w:left="4320" w:hanging="360"/>
      </w:pPr>
      <w:rPr>
        <w:rFonts w:ascii="Wingdings" w:hAnsi="Wingdings" w:hint="default"/>
      </w:rPr>
    </w:lvl>
    <w:lvl w:ilvl="6" w:tplc="78EA4742" w:tentative="1">
      <w:start w:val="1"/>
      <w:numFmt w:val="bullet"/>
      <w:lvlText w:val=""/>
      <w:lvlJc w:val="left"/>
      <w:pPr>
        <w:tabs>
          <w:tab w:val="num" w:pos="5040"/>
        </w:tabs>
        <w:ind w:left="5040" w:hanging="360"/>
      </w:pPr>
      <w:rPr>
        <w:rFonts w:ascii="Symbol" w:hAnsi="Symbol" w:hint="default"/>
      </w:rPr>
    </w:lvl>
    <w:lvl w:ilvl="7" w:tplc="29C82C98" w:tentative="1">
      <w:start w:val="1"/>
      <w:numFmt w:val="bullet"/>
      <w:lvlText w:val="o"/>
      <w:lvlJc w:val="left"/>
      <w:pPr>
        <w:tabs>
          <w:tab w:val="num" w:pos="5760"/>
        </w:tabs>
        <w:ind w:left="5760" w:hanging="360"/>
      </w:pPr>
      <w:rPr>
        <w:rFonts w:ascii="Courier New" w:hAnsi="Courier New" w:cs="Courier New" w:hint="default"/>
      </w:rPr>
    </w:lvl>
    <w:lvl w:ilvl="8" w:tplc="34E0D8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41609"/>
    <w:multiLevelType w:val="hybridMultilevel"/>
    <w:tmpl w:val="1E5AABE8"/>
    <w:lvl w:ilvl="0" w:tplc="A6489412">
      <w:start w:val="1"/>
      <w:numFmt w:val="decimal"/>
      <w:lvlText w:val="%1."/>
      <w:lvlJc w:val="left"/>
      <w:pPr>
        <w:tabs>
          <w:tab w:val="num" w:pos="570"/>
        </w:tabs>
        <w:ind w:left="570" w:hanging="570"/>
      </w:pPr>
      <w:rPr>
        <w:rFonts w:hint="default"/>
      </w:rPr>
    </w:lvl>
    <w:lvl w:ilvl="1" w:tplc="193C8FEA" w:tentative="1">
      <w:start w:val="1"/>
      <w:numFmt w:val="lowerLetter"/>
      <w:lvlText w:val="%2."/>
      <w:lvlJc w:val="left"/>
      <w:pPr>
        <w:tabs>
          <w:tab w:val="num" w:pos="1080"/>
        </w:tabs>
        <w:ind w:left="1080" w:hanging="360"/>
      </w:pPr>
    </w:lvl>
    <w:lvl w:ilvl="2" w:tplc="B16C2F7C" w:tentative="1">
      <w:start w:val="1"/>
      <w:numFmt w:val="lowerRoman"/>
      <w:lvlText w:val="%3."/>
      <w:lvlJc w:val="right"/>
      <w:pPr>
        <w:tabs>
          <w:tab w:val="num" w:pos="1800"/>
        </w:tabs>
        <w:ind w:left="1800" w:hanging="180"/>
      </w:pPr>
    </w:lvl>
    <w:lvl w:ilvl="3" w:tplc="2C8EBD32" w:tentative="1">
      <w:start w:val="1"/>
      <w:numFmt w:val="decimal"/>
      <w:lvlText w:val="%4."/>
      <w:lvlJc w:val="left"/>
      <w:pPr>
        <w:tabs>
          <w:tab w:val="num" w:pos="2520"/>
        </w:tabs>
        <w:ind w:left="2520" w:hanging="360"/>
      </w:pPr>
    </w:lvl>
    <w:lvl w:ilvl="4" w:tplc="C7245202" w:tentative="1">
      <w:start w:val="1"/>
      <w:numFmt w:val="lowerLetter"/>
      <w:lvlText w:val="%5."/>
      <w:lvlJc w:val="left"/>
      <w:pPr>
        <w:tabs>
          <w:tab w:val="num" w:pos="3240"/>
        </w:tabs>
        <w:ind w:left="3240" w:hanging="360"/>
      </w:pPr>
    </w:lvl>
    <w:lvl w:ilvl="5" w:tplc="7CAC368E" w:tentative="1">
      <w:start w:val="1"/>
      <w:numFmt w:val="lowerRoman"/>
      <w:lvlText w:val="%6."/>
      <w:lvlJc w:val="right"/>
      <w:pPr>
        <w:tabs>
          <w:tab w:val="num" w:pos="3960"/>
        </w:tabs>
        <w:ind w:left="3960" w:hanging="180"/>
      </w:pPr>
    </w:lvl>
    <w:lvl w:ilvl="6" w:tplc="3EDAB904" w:tentative="1">
      <w:start w:val="1"/>
      <w:numFmt w:val="decimal"/>
      <w:lvlText w:val="%7."/>
      <w:lvlJc w:val="left"/>
      <w:pPr>
        <w:tabs>
          <w:tab w:val="num" w:pos="4680"/>
        </w:tabs>
        <w:ind w:left="4680" w:hanging="360"/>
      </w:pPr>
    </w:lvl>
    <w:lvl w:ilvl="7" w:tplc="868E5426" w:tentative="1">
      <w:start w:val="1"/>
      <w:numFmt w:val="lowerLetter"/>
      <w:lvlText w:val="%8."/>
      <w:lvlJc w:val="left"/>
      <w:pPr>
        <w:tabs>
          <w:tab w:val="num" w:pos="5400"/>
        </w:tabs>
        <w:ind w:left="5400" w:hanging="360"/>
      </w:pPr>
    </w:lvl>
    <w:lvl w:ilvl="8" w:tplc="93746278" w:tentative="1">
      <w:start w:val="1"/>
      <w:numFmt w:val="lowerRoman"/>
      <w:lvlText w:val="%9."/>
      <w:lvlJc w:val="right"/>
      <w:pPr>
        <w:tabs>
          <w:tab w:val="num" w:pos="6120"/>
        </w:tabs>
        <w:ind w:left="6120" w:hanging="180"/>
      </w:pPr>
    </w:lvl>
  </w:abstractNum>
  <w:abstractNum w:abstractNumId="18" w15:restartNumberingAfterBreak="0">
    <w:nsid w:val="3425292D"/>
    <w:multiLevelType w:val="hybridMultilevel"/>
    <w:tmpl w:val="BC522520"/>
    <w:lvl w:ilvl="0" w:tplc="04F812F4">
      <w:start w:val="1"/>
      <w:numFmt w:val="bullet"/>
      <w:lvlText w:val=""/>
      <w:lvlJc w:val="left"/>
      <w:pPr>
        <w:ind w:left="720" w:hanging="360"/>
      </w:pPr>
      <w:rPr>
        <w:rFonts w:ascii="Symbol" w:hAnsi="Symbol" w:hint="default"/>
      </w:rPr>
    </w:lvl>
    <w:lvl w:ilvl="1" w:tplc="61E0259E" w:tentative="1">
      <w:start w:val="1"/>
      <w:numFmt w:val="bullet"/>
      <w:lvlText w:val="o"/>
      <w:lvlJc w:val="left"/>
      <w:pPr>
        <w:ind w:left="1440" w:hanging="360"/>
      </w:pPr>
      <w:rPr>
        <w:rFonts w:ascii="Courier New" w:hAnsi="Courier New" w:cs="Courier New" w:hint="default"/>
      </w:rPr>
    </w:lvl>
    <w:lvl w:ilvl="2" w:tplc="A8D6AAAE" w:tentative="1">
      <w:start w:val="1"/>
      <w:numFmt w:val="bullet"/>
      <w:lvlText w:val=""/>
      <w:lvlJc w:val="left"/>
      <w:pPr>
        <w:ind w:left="2160" w:hanging="360"/>
      </w:pPr>
      <w:rPr>
        <w:rFonts w:ascii="Wingdings" w:hAnsi="Wingdings" w:hint="default"/>
      </w:rPr>
    </w:lvl>
    <w:lvl w:ilvl="3" w:tplc="7F569F80" w:tentative="1">
      <w:start w:val="1"/>
      <w:numFmt w:val="bullet"/>
      <w:lvlText w:val=""/>
      <w:lvlJc w:val="left"/>
      <w:pPr>
        <w:ind w:left="2880" w:hanging="360"/>
      </w:pPr>
      <w:rPr>
        <w:rFonts w:ascii="Symbol" w:hAnsi="Symbol" w:hint="default"/>
      </w:rPr>
    </w:lvl>
    <w:lvl w:ilvl="4" w:tplc="9ABC895A" w:tentative="1">
      <w:start w:val="1"/>
      <w:numFmt w:val="bullet"/>
      <w:lvlText w:val="o"/>
      <w:lvlJc w:val="left"/>
      <w:pPr>
        <w:ind w:left="3600" w:hanging="360"/>
      </w:pPr>
      <w:rPr>
        <w:rFonts w:ascii="Courier New" w:hAnsi="Courier New" w:cs="Courier New" w:hint="default"/>
      </w:rPr>
    </w:lvl>
    <w:lvl w:ilvl="5" w:tplc="C89E11A2" w:tentative="1">
      <w:start w:val="1"/>
      <w:numFmt w:val="bullet"/>
      <w:lvlText w:val=""/>
      <w:lvlJc w:val="left"/>
      <w:pPr>
        <w:ind w:left="4320" w:hanging="360"/>
      </w:pPr>
      <w:rPr>
        <w:rFonts w:ascii="Wingdings" w:hAnsi="Wingdings" w:hint="default"/>
      </w:rPr>
    </w:lvl>
    <w:lvl w:ilvl="6" w:tplc="D40ECA40" w:tentative="1">
      <w:start w:val="1"/>
      <w:numFmt w:val="bullet"/>
      <w:lvlText w:val=""/>
      <w:lvlJc w:val="left"/>
      <w:pPr>
        <w:ind w:left="5040" w:hanging="360"/>
      </w:pPr>
      <w:rPr>
        <w:rFonts w:ascii="Symbol" w:hAnsi="Symbol" w:hint="default"/>
      </w:rPr>
    </w:lvl>
    <w:lvl w:ilvl="7" w:tplc="AF84CF46" w:tentative="1">
      <w:start w:val="1"/>
      <w:numFmt w:val="bullet"/>
      <w:lvlText w:val="o"/>
      <w:lvlJc w:val="left"/>
      <w:pPr>
        <w:ind w:left="5760" w:hanging="360"/>
      </w:pPr>
      <w:rPr>
        <w:rFonts w:ascii="Courier New" w:hAnsi="Courier New" w:cs="Courier New" w:hint="default"/>
      </w:rPr>
    </w:lvl>
    <w:lvl w:ilvl="8" w:tplc="3D9AB284" w:tentative="1">
      <w:start w:val="1"/>
      <w:numFmt w:val="bullet"/>
      <w:lvlText w:val=""/>
      <w:lvlJc w:val="left"/>
      <w:pPr>
        <w:ind w:left="6480" w:hanging="360"/>
      </w:pPr>
      <w:rPr>
        <w:rFonts w:ascii="Wingdings" w:hAnsi="Wingdings" w:hint="default"/>
      </w:rPr>
    </w:lvl>
  </w:abstractNum>
  <w:abstractNum w:abstractNumId="19" w15:restartNumberingAfterBreak="0">
    <w:nsid w:val="368E30D3"/>
    <w:multiLevelType w:val="multilevel"/>
    <w:tmpl w:val="1A1864A0"/>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E7422D0"/>
    <w:multiLevelType w:val="hybridMultilevel"/>
    <w:tmpl w:val="FFFFFFFF"/>
    <w:lvl w:ilvl="0" w:tplc="D324B8F8">
      <w:start w:val="1"/>
      <w:numFmt w:val="bullet"/>
      <w:lvlText w:val=""/>
      <w:legacy w:legacy="1" w:legacySpace="0" w:legacyIndent="283"/>
      <w:lvlJc w:val="left"/>
      <w:pPr>
        <w:ind w:left="283" w:hanging="283"/>
      </w:pPr>
      <w:rPr>
        <w:rFonts w:ascii="Symbol" w:hAnsi="Symbol" w:hint="default"/>
      </w:rPr>
    </w:lvl>
    <w:lvl w:ilvl="1" w:tplc="7C543DFC">
      <w:numFmt w:val="decimal"/>
      <w:lvlText w:val=""/>
      <w:lvlJc w:val="left"/>
    </w:lvl>
    <w:lvl w:ilvl="2" w:tplc="4D0644DE">
      <w:numFmt w:val="decimal"/>
      <w:lvlText w:val=""/>
      <w:lvlJc w:val="left"/>
    </w:lvl>
    <w:lvl w:ilvl="3" w:tplc="849262F6">
      <w:numFmt w:val="decimal"/>
      <w:lvlText w:val=""/>
      <w:lvlJc w:val="left"/>
    </w:lvl>
    <w:lvl w:ilvl="4" w:tplc="E37247A2">
      <w:numFmt w:val="decimal"/>
      <w:lvlText w:val=""/>
      <w:lvlJc w:val="left"/>
    </w:lvl>
    <w:lvl w:ilvl="5" w:tplc="75560286">
      <w:numFmt w:val="decimal"/>
      <w:lvlText w:val=""/>
      <w:lvlJc w:val="left"/>
    </w:lvl>
    <w:lvl w:ilvl="6" w:tplc="2842DED8">
      <w:numFmt w:val="decimal"/>
      <w:lvlText w:val=""/>
      <w:lvlJc w:val="left"/>
    </w:lvl>
    <w:lvl w:ilvl="7" w:tplc="C0E6F18E">
      <w:numFmt w:val="decimal"/>
      <w:lvlText w:val=""/>
      <w:lvlJc w:val="left"/>
    </w:lvl>
    <w:lvl w:ilvl="8" w:tplc="6660D2CE">
      <w:numFmt w:val="decimal"/>
      <w:lvlText w:val=""/>
      <w:lvlJc w:val="left"/>
    </w:lvl>
  </w:abstractNum>
  <w:abstractNum w:abstractNumId="21" w15:restartNumberingAfterBreak="0">
    <w:nsid w:val="3F7641A9"/>
    <w:multiLevelType w:val="multilevel"/>
    <w:tmpl w:val="C6C4C6C4"/>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2" w15:restartNumberingAfterBreak="0">
    <w:nsid w:val="4A810019"/>
    <w:multiLevelType w:val="hybridMultilevel"/>
    <w:tmpl w:val="FFFFFFFF"/>
    <w:lvl w:ilvl="0" w:tplc="DD583B7A">
      <w:start w:val="1"/>
      <w:numFmt w:val="bullet"/>
      <w:lvlText w:val="-"/>
      <w:legacy w:legacy="1" w:legacySpace="0" w:legacyIndent="360"/>
      <w:lvlJc w:val="left"/>
      <w:pPr>
        <w:ind w:left="1800" w:hanging="360"/>
      </w:pPr>
    </w:lvl>
    <w:lvl w:ilvl="1" w:tplc="27123858">
      <w:numFmt w:val="decimal"/>
      <w:lvlText w:val=""/>
      <w:lvlJc w:val="left"/>
    </w:lvl>
    <w:lvl w:ilvl="2" w:tplc="047A0014">
      <w:numFmt w:val="decimal"/>
      <w:lvlText w:val=""/>
      <w:lvlJc w:val="left"/>
    </w:lvl>
    <w:lvl w:ilvl="3" w:tplc="6624FDA0">
      <w:numFmt w:val="decimal"/>
      <w:lvlText w:val=""/>
      <w:lvlJc w:val="left"/>
    </w:lvl>
    <w:lvl w:ilvl="4" w:tplc="728AA2EE">
      <w:numFmt w:val="decimal"/>
      <w:lvlText w:val=""/>
      <w:lvlJc w:val="left"/>
    </w:lvl>
    <w:lvl w:ilvl="5" w:tplc="32C07D9A">
      <w:numFmt w:val="decimal"/>
      <w:lvlText w:val=""/>
      <w:lvlJc w:val="left"/>
    </w:lvl>
    <w:lvl w:ilvl="6" w:tplc="16ECB72C">
      <w:numFmt w:val="decimal"/>
      <w:lvlText w:val=""/>
      <w:lvlJc w:val="left"/>
    </w:lvl>
    <w:lvl w:ilvl="7" w:tplc="84728BEA">
      <w:numFmt w:val="decimal"/>
      <w:lvlText w:val=""/>
      <w:lvlJc w:val="left"/>
    </w:lvl>
    <w:lvl w:ilvl="8" w:tplc="F87E7A62">
      <w:numFmt w:val="decimal"/>
      <w:lvlText w:val=""/>
      <w:lvlJc w:val="left"/>
    </w:lvl>
  </w:abstractNum>
  <w:abstractNum w:abstractNumId="23" w15:restartNumberingAfterBreak="0">
    <w:nsid w:val="55F25ED1"/>
    <w:multiLevelType w:val="hybridMultilevel"/>
    <w:tmpl w:val="63788238"/>
    <w:lvl w:ilvl="0" w:tplc="4FDAE310">
      <w:start w:val="1"/>
      <w:numFmt w:val="bullet"/>
      <w:lvlText w:val=""/>
      <w:lvlJc w:val="left"/>
      <w:pPr>
        <w:tabs>
          <w:tab w:val="num" w:pos="284"/>
        </w:tabs>
        <w:ind w:left="284" w:hanging="284"/>
      </w:pPr>
      <w:rPr>
        <w:rFonts w:ascii="Symbol" w:hAnsi="Symbol" w:hint="default"/>
      </w:rPr>
    </w:lvl>
    <w:lvl w:ilvl="1" w:tplc="7D7C928E">
      <w:start w:val="1"/>
      <w:numFmt w:val="bullet"/>
      <w:lvlText w:val="-"/>
      <w:lvlJc w:val="left"/>
      <w:pPr>
        <w:tabs>
          <w:tab w:val="num" w:pos="1327"/>
        </w:tabs>
        <w:ind w:left="1327" w:hanging="360"/>
      </w:pPr>
      <w:rPr>
        <w:rFonts w:hint="default"/>
      </w:rPr>
    </w:lvl>
    <w:lvl w:ilvl="2" w:tplc="EC60C1F0" w:tentative="1">
      <w:start w:val="1"/>
      <w:numFmt w:val="bullet"/>
      <w:lvlText w:val=""/>
      <w:lvlJc w:val="left"/>
      <w:pPr>
        <w:tabs>
          <w:tab w:val="num" w:pos="2047"/>
        </w:tabs>
        <w:ind w:left="2047" w:hanging="360"/>
      </w:pPr>
      <w:rPr>
        <w:rFonts w:ascii="Wingdings" w:hAnsi="Wingdings" w:hint="default"/>
      </w:rPr>
    </w:lvl>
    <w:lvl w:ilvl="3" w:tplc="A3347D84" w:tentative="1">
      <w:start w:val="1"/>
      <w:numFmt w:val="bullet"/>
      <w:lvlText w:val=""/>
      <w:lvlJc w:val="left"/>
      <w:pPr>
        <w:tabs>
          <w:tab w:val="num" w:pos="2767"/>
        </w:tabs>
        <w:ind w:left="2767" w:hanging="360"/>
      </w:pPr>
      <w:rPr>
        <w:rFonts w:ascii="Symbol" w:hAnsi="Symbol" w:hint="default"/>
      </w:rPr>
    </w:lvl>
    <w:lvl w:ilvl="4" w:tplc="A04AE544" w:tentative="1">
      <w:start w:val="1"/>
      <w:numFmt w:val="bullet"/>
      <w:lvlText w:val="o"/>
      <w:lvlJc w:val="left"/>
      <w:pPr>
        <w:tabs>
          <w:tab w:val="num" w:pos="3487"/>
        </w:tabs>
        <w:ind w:left="3487" w:hanging="360"/>
      </w:pPr>
      <w:rPr>
        <w:rFonts w:ascii="Courier New" w:hAnsi="Courier New" w:cs="Courier New" w:hint="default"/>
      </w:rPr>
    </w:lvl>
    <w:lvl w:ilvl="5" w:tplc="F8DE0FD4" w:tentative="1">
      <w:start w:val="1"/>
      <w:numFmt w:val="bullet"/>
      <w:lvlText w:val=""/>
      <w:lvlJc w:val="left"/>
      <w:pPr>
        <w:tabs>
          <w:tab w:val="num" w:pos="4207"/>
        </w:tabs>
        <w:ind w:left="4207" w:hanging="360"/>
      </w:pPr>
      <w:rPr>
        <w:rFonts w:ascii="Wingdings" w:hAnsi="Wingdings" w:hint="default"/>
      </w:rPr>
    </w:lvl>
    <w:lvl w:ilvl="6" w:tplc="AA3A0EE4" w:tentative="1">
      <w:start w:val="1"/>
      <w:numFmt w:val="bullet"/>
      <w:lvlText w:val=""/>
      <w:lvlJc w:val="left"/>
      <w:pPr>
        <w:tabs>
          <w:tab w:val="num" w:pos="4927"/>
        </w:tabs>
        <w:ind w:left="4927" w:hanging="360"/>
      </w:pPr>
      <w:rPr>
        <w:rFonts w:ascii="Symbol" w:hAnsi="Symbol" w:hint="default"/>
      </w:rPr>
    </w:lvl>
    <w:lvl w:ilvl="7" w:tplc="8B62B6AE" w:tentative="1">
      <w:start w:val="1"/>
      <w:numFmt w:val="bullet"/>
      <w:lvlText w:val="o"/>
      <w:lvlJc w:val="left"/>
      <w:pPr>
        <w:tabs>
          <w:tab w:val="num" w:pos="5647"/>
        </w:tabs>
        <w:ind w:left="5647" w:hanging="360"/>
      </w:pPr>
      <w:rPr>
        <w:rFonts w:ascii="Courier New" w:hAnsi="Courier New" w:cs="Courier New" w:hint="default"/>
      </w:rPr>
    </w:lvl>
    <w:lvl w:ilvl="8" w:tplc="E30CCCBA" w:tentative="1">
      <w:start w:val="1"/>
      <w:numFmt w:val="bullet"/>
      <w:lvlText w:val=""/>
      <w:lvlJc w:val="left"/>
      <w:pPr>
        <w:tabs>
          <w:tab w:val="num" w:pos="6367"/>
        </w:tabs>
        <w:ind w:left="6367" w:hanging="360"/>
      </w:pPr>
      <w:rPr>
        <w:rFonts w:ascii="Wingdings" w:hAnsi="Wingdings" w:hint="default"/>
      </w:rPr>
    </w:lvl>
  </w:abstractNum>
  <w:abstractNum w:abstractNumId="24" w15:restartNumberingAfterBreak="0">
    <w:nsid w:val="560C4365"/>
    <w:multiLevelType w:val="hybridMultilevel"/>
    <w:tmpl w:val="FFFFFFFF"/>
    <w:lvl w:ilvl="0" w:tplc="BA0AA752">
      <w:start w:val="1"/>
      <w:numFmt w:val="bullet"/>
      <w:lvlText w:val="-"/>
      <w:legacy w:legacy="1" w:legacySpace="0" w:legacyIndent="360"/>
      <w:lvlJc w:val="left"/>
      <w:pPr>
        <w:ind w:left="1800" w:hanging="360"/>
      </w:pPr>
    </w:lvl>
    <w:lvl w:ilvl="1" w:tplc="81FAFB26">
      <w:numFmt w:val="decimal"/>
      <w:lvlText w:val=""/>
      <w:lvlJc w:val="left"/>
    </w:lvl>
    <w:lvl w:ilvl="2" w:tplc="A858EA0A">
      <w:numFmt w:val="decimal"/>
      <w:lvlText w:val=""/>
      <w:lvlJc w:val="left"/>
    </w:lvl>
    <w:lvl w:ilvl="3" w:tplc="0046E46C">
      <w:numFmt w:val="decimal"/>
      <w:lvlText w:val=""/>
      <w:lvlJc w:val="left"/>
    </w:lvl>
    <w:lvl w:ilvl="4" w:tplc="87B23FF4">
      <w:numFmt w:val="decimal"/>
      <w:lvlText w:val=""/>
      <w:lvlJc w:val="left"/>
    </w:lvl>
    <w:lvl w:ilvl="5" w:tplc="06BCA76C">
      <w:numFmt w:val="decimal"/>
      <w:lvlText w:val=""/>
      <w:lvlJc w:val="left"/>
    </w:lvl>
    <w:lvl w:ilvl="6" w:tplc="7F6483F2">
      <w:numFmt w:val="decimal"/>
      <w:lvlText w:val=""/>
      <w:lvlJc w:val="left"/>
    </w:lvl>
    <w:lvl w:ilvl="7" w:tplc="6A9EA0A6">
      <w:numFmt w:val="decimal"/>
      <w:lvlText w:val=""/>
      <w:lvlJc w:val="left"/>
    </w:lvl>
    <w:lvl w:ilvl="8" w:tplc="93C222D4">
      <w:numFmt w:val="decimal"/>
      <w:lvlText w:val=""/>
      <w:lvlJc w:val="left"/>
    </w:lvl>
  </w:abstractNum>
  <w:abstractNum w:abstractNumId="25" w15:restartNumberingAfterBreak="0">
    <w:nsid w:val="56E72C0F"/>
    <w:multiLevelType w:val="hybridMultilevel"/>
    <w:tmpl w:val="DCBEF438"/>
    <w:lvl w:ilvl="0" w:tplc="C6DC5B5A">
      <w:start w:val="1"/>
      <w:numFmt w:val="bullet"/>
      <w:lvlText w:val=""/>
      <w:lvlJc w:val="left"/>
      <w:pPr>
        <w:ind w:left="720" w:hanging="360"/>
      </w:pPr>
      <w:rPr>
        <w:rFonts w:ascii="Wingdings" w:hAnsi="Wingdings" w:hint="default"/>
      </w:rPr>
    </w:lvl>
    <w:lvl w:ilvl="1" w:tplc="F4806CA6" w:tentative="1">
      <w:start w:val="1"/>
      <w:numFmt w:val="bullet"/>
      <w:lvlText w:val="o"/>
      <w:lvlJc w:val="left"/>
      <w:pPr>
        <w:ind w:left="1440" w:hanging="360"/>
      </w:pPr>
      <w:rPr>
        <w:rFonts w:ascii="Courier New" w:hAnsi="Courier New" w:cs="Courier New" w:hint="default"/>
      </w:rPr>
    </w:lvl>
    <w:lvl w:ilvl="2" w:tplc="A13C1052" w:tentative="1">
      <w:start w:val="1"/>
      <w:numFmt w:val="bullet"/>
      <w:lvlText w:val=""/>
      <w:lvlJc w:val="left"/>
      <w:pPr>
        <w:ind w:left="2160" w:hanging="360"/>
      </w:pPr>
      <w:rPr>
        <w:rFonts w:ascii="Wingdings" w:hAnsi="Wingdings" w:hint="default"/>
      </w:rPr>
    </w:lvl>
    <w:lvl w:ilvl="3" w:tplc="5D34FA70" w:tentative="1">
      <w:start w:val="1"/>
      <w:numFmt w:val="bullet"/>
      <w:lvlText w:val=""/>
      <w:lvlJc w:val="left"/>
      <w:pPr>
        <w:ind w:left="2880" w:hanging="360"/>
      </w:pPr>
      <w:rPr>
        <w:rFonts w:ascii="Symbol" w:hAnsi="Symbol" w:hint="default"/>
      </w:rPr>
    </w:lvl>
    <w:lvl w:ilvl="4" w:tplc="2B1425AA" w:tentative="1">
      <w:start w:val="1"/>
      <w:numFmt w:val="bullet"/>
      <w:lvlText w:val="o"/>
      <w:lvlJc w:val="left"/>
      <w:pPr>
        <w:ind w:left="3600" w:hanging="360"/>
      </w:pPr>
      <w:rPr>
        <w:rFonts w:ascii="Courier New" w:hAnsi="Courier New" w:cs="Courier New" w:hint="default"/>
      </w:rPr>
    </w:lvl>
    <w:lvl w:ilvl="5" w:tplc="6A3AC974" w:tentative="1">
      <w:start w:val="1"/>
      <w:numFmt w:val="bullet"/>
      <w:lvlText w:val=""/>
      <w:lvlJc w:val="left"/>
      <w:pPr>
        <w:ind w:left="4320" w:hanging="360"/>
      </w:pPr>
      <w:rPr>
        <w:rFonts w:ascii="Wingdings" w:hAnsi="Wingdings" w:hint="default"/>
      </w:rPr>
    </w:lvl>
    <w:lvl w:ilvl="6" w:tplc="FD203A7A" w:tentative="1">
      <w:start w:val="1"/>
      <w:numFmt w:val="bullet"/>
      <w:lvlText w:val=""/>
      <w:lvlJc w:val="left"/>
      <w:pPr>
        <w:ind w:left="5040" w:hanging="360"/>
      </w:pPr>
      <w:rPr>
        <w:rFonts w:ascii="Symbol" w:hAnsi="Symbol" w:hint="default"/>
      </w:rPr>
    </w:lvl>
    <w:lvl w:ilvl="7" w:tplc="E138BDE2" w:tentative="1">
      <w:start w:val="1"/>
      <w:numFmt w:val="bullet"/>
      <w:lvlText w:val="o"/>
      <w:lvlJc w:val="left"/>
      <w:pPr>
        <w:ind w:left="5760" w:hanging="360"/>
      </w:pPr>
      <w:rPr>
        <w:rFonts w:ascii="Courier New" w:hAnsi="Courier New" w:cs="Courier New" w:hint="default"/>
      </w:rPr>
    </w:lvl>
    <w:lvl w:ilvl="8" w:tplc="0EE6CF2A" w:tentative="1">
      <w:start w:val="1"/>
      <w:numFmt w:val="bullet"/>
      <w:lvlText w:val=""/>
      <w:lvlJc w:val="left"/>
      <w:pPr>
        <w:ind w:left="6480" w:hanging="360"/>
      </w:pPr>
      <w:rPr>
        <w:rFonts w:ascii="Wingdings" w:hAnsi="Wingdings" w:hint="default"/>
      </w:rPr>
    </w:lvl>
  </w:abstractNum>
  <w:abstractNum w:abstractNumId="26" w15:restartNumberingAfterBreak="0">
    <w:nsid w:val="58B56C73"/>
    <w:multiLevelType w:val="hybridMultilevel"/>
    <w:tmpl w:val="5BA42128"/>
    <w:lvl w:ilvl="0" w:tplc="DF520730">
      <w:start w:val="2"/>
      <w:numFmt w:val="decimal"/>
      <w:lvlText w:val="%1."/>
      <w:lvlJc w:val="left"/>
      <w:pPr>
        <w:tabs>
          <w:tab w:val="num" w:pos="570"/>
        </w:tabs>
        <w:ind w:left="570" w:hanging="570"/>
      </w:pPr>
      <w:rPr>
        <w:rFonts w:hint="default"/>
      </w:rPr>
    </w:lvl>
    <w:lvl w:ilvl="1" w:tplc="0C08F7A8">
      <w:start w:val="1"/>
      <w:numFmt w:val="lowerLetter"/>
      <w:lvlText w:val="%2."/>
      <w:lvlJc w:val="left"/>
      <w:pPr>
        <w:tabs>
          <w:tab w:val="num" w:pos="1080"/>
        </w:tabs>
        <w:ind w:left="1080" w:hanging="360"/>
      </w:pPr>
    </w:lvl>
    <w:lvl w:ilvl="2" w:tplc="6EBCBBE4" w:tentative="1">
      <w:start w:val="1"/>
      <w:numFmt w:val="lowerRoman"/>
      <w:lvlText w:val="%3."/>
      <w:lvlJc w:val="right"/>
      <w:pPr>
        <w:tabs>
          <w:tab w:val="num" w:pos="1800"/>
        </w:tabs>
        <w:ind w:left="1800" w:hanging="180"/>
      </w:pPr>
    </w:lvl>
    <w:lvl w:ilvl="3" w:tplc="C56669E8" w:tentative="1">
      <w:start w:val="1"/>
      <w:numFmt w:val="decimal"/>
      <w:lvlText w:val="%4."/>
      <w:lvlJc w:val="left"/>
      <w:pPr>
        <w:tabs>
          <w:tab w:val="num" w:pos="2520"/>
        </w:tabs>
        <w:ind w:left="2520" w:hanging="360"/>
      </w:pPr>
    </w:lvl>
    <w:lvl w:ilvl="4" w:tplc="64ACB5D6" w:tentative="1">
      <w:start w:val="1"/>
      <w:numFmt w:val="lowerLetter"/>
      <w:lvlText w:val="%5."/>
      <w:lvlJc w:val="left"/>
      <w:pPr>
        <w:tabs>
          <w:tab w:val="num" w:pos="3240"/>
        </w:tabs>
        <w:ind w:left="3240" w:hanging="360"/>
      </w:pPr>
    </w:lvl>
    <w:lvl w:ilvl="5" w:tplc="842C1D50" w:tentative="1">
      <w:start w:val="1"/>
      <w:numFmt w:val="lowerRoman"/>
      <w:lvlText w:val="%6."/>
      <w:lvlJc w:val="right"/>
      <w:pPr>
        <w:tabs>
          <w:tab w:val="num" w:pos="3960"/>
        </w:tabs>
        <w:ind w:left="3960" w:hanging="180"/>
      </w:pPr>
    </w:lvl>
    <w:lvl w:ilvl="6" w:tplc="FF2CF048" w:tentative="1">
      <w:start w:val="1"/>
      <w:numFmt w:val="decimal"/>
      <w:lvlText w:val="%7."/>
      <w:lvlJc w:val="left"/>
      <w:pPr>
        <w:tabs>
          <w:tab w:val="num" w:pos="4680"/>
        </w:tabs>
        <w:ind w:left="4680" w:hanging="360"/>
      </w:pPr>
    </w:lvl>
    <w:lvl w:ilvl="7" w:tplc="A4746B1C" w:tentative="1">
      <w:start w:val="1"/>
      <w:numFmt w:val="lowerLetter"/>
      <w:lvlText w:val="%8."/>
      <w:lvlJc w:val="left"/>
      <w:pPr>
        <w:tabs>
          <w:tab w:val="num" w:pos="5400"/>
        </w:tabs>
        <w:ind w:left="5400" w:hanging="360"/>
      </w:pPr>
    </w:lvl>
    <w:lvl w:ilvl="8" w:tplc="7E8C465E" w:tentative="1">
      <w:start w:val="1"/>
      <w:numFmt w:val="lowerRoman"/>
      <w:lvlText w:val="%9."/>
      <w:lvlJc w:val="right"/>
      <w:pPr>
        <w:tabs>
          <w:tab w:val="num" w:pos="6120"/>
        </w:tabs>
        <w:ind w:left="6120" w:hanging="180"/>
      </w:pPr>
    </w:lvl>
  </w:abstractNum>
  <w:abstractNum w:abstractNumId="27" w15:restartNumberingAfterBreak="0">
    <w:nsid w:val="642D6557"/>
    <w:multiLevelType w:val="hybridMultilevel"/>
    <w:tmpl w:val="1E5AABE8"/>
    <w:lvl w:ilvl="0" w:tplc="31D2C372">
      <w:start w:val="1"/>
      <w:numFmt w:val="decimal"/>
      <w:lvlText w:val="%1."/>
      <w:lvlJc w:val="left"/>
      <w:pPr>
        <w:tabs>
          <w:tab w:val="num" w:pos="570"/>
        </w:tabs>
        <w:ind w:left="570" w:hanging="570"/>
      </w:pPr>
      <w:rPr>
        <w:rFonts w:hint="default"/>
      </w:rPr>
    </w:lvl>
    <w:lvl w:ilvl="1" w:tplc="818A0402">
      <w:start w:val="1"/>
      <w:numFmt w:val="lowerLetter"/>
      <w:lvlText w:val="%2."/>
      <w:lvlJc w:val="left"/>
      <w:pPr>
        <w:tabs>
          <w:tab w:val="num" w:pos="1080"/>
        </w:tabs>
        <w:ind w:left="1080" w:hanging="360"/>
      </w:pPr>
    </w:lvl>
    <w:lvl w:ilvl="2" w:tplc="2CE47512">
      <w:start w:val="1"/>
      <w:numFmt w:val="lowerRoman"/>
      <w:lvlText w:val="%3."/>
      <w:lvlJc w:val="right"/>
      <w:pPr>
        <w:tabs>
          <w:tab w:val="num" w:pos="1800"/>
        </w:tabs>
        <w:ind w:left="1800" w:hanging="180"/>
      </w:pPr>
    </w:lvl>
    <w:lvl w:ilvl="3" w:tplc="A790ADBC">
      <w:start w:val="1"/>
      <w:numFmt w:val="decimal"/>
      <w:lvlText w:val="%4."/>
      <w:lvlJc w:val="left"/>
      <w:pPr>
        <w:tabs>
          <w:tab w:val="num" w:pos="2520"/>
        </w:tabs>
        <w:ind w:left="2520" w:hanging="360"/>
      </w:pPr>
    </w:lvl>
    <w:lvl w:ilvl="4" w:tplc="90520002">
      <w:start w:val="1"/>
      <w:numFmt w:val="lowerLetter"/>
      <w:lvlText w:val="%5."/>
      <w:lvlJc w:val="left"/>
      <w:pPr>
        <w:tabs>
          <w:tab w:val="num" w:pos="3240"/>
        </w:tabs>
        <w:ind w:left="3240" w:hanging="360"/>
      </w:pPr>
    </w:lvl>
    <w:lvl w:ilvl="5" w:tplc="B964CF64">
      <w:start w:val="1"/>
      <w:numFmt w:val="lowerRoman"/>
      <w:lvlText w:val="%6."/>
      <w:lvlJc w:val="right"/>
      <w:pPr>
        <w:tabs>
          <w:tab w:val="num" w:pos="3960"/>
        </w:tabs>
        <w:ind w:left="3960" w:hanging="180"/>
      </w:pPr>
    </w:lvl>
    <w:lvl w:ilvl="6" w:tplc="D294223E">
      <w:start w:val="1"/>
      <w:numFmt w:val="decimal"/>
      <w:lvlText w:val="%7."/>
      <w:lvlJc w:val="left"/>
      <w:pPr>
        <w:tabs>
          <w:tab w:val="num" w:pos="4680"/>
        </w:tabs>
        <w:ind w:left="4680" w:hanging="360"/>
      </w:pPr>
    </w:lvl>
    <w:lvl w:ilvl="7" w:tplc="ECFC042C">
      <w:start w:val="1"/>
      <w:numFmt w:val="lowerLetter"/>
      <w:lvlText w:val="%8."/>
      <w:lvlJc w:val="left"/>
      <w:pPr>
        <w:tabs>
          <w:tab w:val="num" w:pos="5400"/>
        </w:tabs>
        <w:ind w:left="5400" w:hanging="360"/>
      </w:pPr>
    </w:lvl>
    <w:lvl w:ilvl="8" w:tplc="729ADDAE">
      <w:start w:val="1"/>
      <w:numFmt w:val="lowerRoman"/>
      <w:lvlText w:val="%9."/>
      <w:lvlJc w:val="right"/>
      <w:pPr>
        <w:tabs>
          <w:tab w:val="num" w:pos="6120"/>
        </w:tabs>
        <w:ind w:left="6120" w:hanging="180"/>
      </w:pPr>
    </w:lvl>
  </w:abstractNum>
  <w:abstractNum w:abstractNumId="28" w15:restartNumberingAfterBreak="0">
    <w:nsid w:val="658C02A1"/>
    <w:multiLevelType w:val="hybridMultilevel"/>
    <w:tmpl w:val="E7D22186"/>
    <w:lvl w:ilvl="0" w:tplc="3E00D138">
      <w:start w:val="1"/>
      <w:numFmt w:val="upperRoman"/>
      <w:lvlText w:val="%1."/>
      <w:lvlJc w:val="left"/>
      <w:pPr>
        <w:tabs>
          <w:tab w:val="num" w:pos="720"/>
        </w:tabs>
        <w:ind w:left="360" w:hanging="360"/>
      </w:pPr>
    </w:lvl>
    <w:lvl w:ilvl="1" w:tplc="E10AC4F6">
      <w:numFmt w:val="decimal"/>
      <w:lvlText w:val=""/>
      <w:lvlJc w:val="left"/>
    </w:lvl>
    <w:lvl w:ilvl="2" w:tplc="97ECD4B2">
      <w:numFmt w:val="decimal"/>
      <w:lvlText w:val=""/>
      <w:lvlJc w:val="left"/>
    </w:lvl>
    <w:lvl w:ilvl="3" w:tplc="5B80A078">
      <w:numFmt w:val="decimal"/>
      <w:lvlText w:val=""/>
      <w:lvlJc w:val="left"/>
    </w:lvl>
    <w:lvl w:ilvl="4" w:tplc="A0D23368">
      <w:numFmt w:val="decimal"/>
      <w:lvlText w:val=""/>
      <w:lvlJc w:val="left"/>
    </w:lvl>
    <w:lvl w:ilvl="5" w:tplc="76287844">
      <w:numFmt w:val="decimal"/>
      <w:lvlText w:val=""/>
      <w:lvlJc w:val="left"/>
    </w:lvl>
    <w:lvl w:ilvl="6" w:tplc="5B74C846">
      <w:numFmt w:val="decimal"/>
      <w:lvlText w:val=""/>
      <w:lvlJc w:val="left"/>
    </w:lvl>
    <w:lvl w:ilvl="7" w:tplc="983CAE2E">
      <w:numFmt w:val="decimal"/>
      <w:lvlText w:val=""/>
      <w:lvlJc w:val="left"/>
    </w:lvl>
    <w:lvl w:ilvl="8" w:tplc="BB4E0ED2">
      <w:numFmt w:val="decimal"/>
      <w:lvlText w:val=""/>
      <w:lvlJc w:val="left"/>
    </w:lvl>
  </w:abstractNum>
  <w:abstractNum w:abstractNumId="29" w15:restartNumberingAfterBreak="0">
    <w:nsid w:val="68247730"/>
    <w:multiLevelType w:val="hybridMultilevel"/>
    <w:tmpl w:val="6096C72A"/>
    <w:lvl w:ilvl="0" w:tplc="08A4E3B2">
      <w:start w:val="5"/>
      <w:numFmt w:val="decimal"/>
      <w:lvlText w:val="%1."/>
      <w:lvlJc w:val="left"/>
      <w:pPr>
        <w:tabs>
          <w:tab w:val="num" w:pos="570"/>
        </w:tabs>
        <w:ind w:left="570" w:hanging="570"/>
      </w:pPr>
      <w:rPr>
        <w:rFonts w:hint="default"/>
      </w:rPr>
    </w:lvl>
    <w:lvl w:ilvl="1" w:tplc="E57C8424">
      <w:numFmt w:val="decimal"/>
      <w:lvlText w:val=""/>
      <w:lvlJc w:val="left"/>
    </w:lvl>
    <w:lvl w:ilvl="2" w:tplc="E3D85CBE">
      <w:numFmt w:val="decimal"/>
      <w:lvlText w:val=""/>
      <w:lvlJc w:val="left"/>
    </w:lvl>
    <w:lvl w:ilvl="3" w:tplc="3BC683D2">
      <w:numFmt w:val="decimal"/>
      <w:lvlText w:val=""/>
      <w:lvlJc w:val="left"/>
    </w:lvl>
    <w:lvl w:ilvl="4" w:tplc="6E8089F8">
      <w:numFmt w:val="decimal"/>
      <w:lvlText w:val=""/>
      <w:lvlJc w:val="left"/>
    </w:lvl>
    <w:lvl w:ilvl="5" w:tplc="7A56D3E6">
      <w:numFmt w:val="decimal"/>
      <w:lvlText w:val=""/>
      <w:lvlJc w:val="left"/>
    </w:lvl>
    <w:lvl w:ilvl="6" w:tplc="96EC71DE">
      <w:numFmt w:val="decimal"/>
      <w:lvlText w:val=""/>
      <w:lvlJc w:val="left"/>
    </w:lvl>
    <w:lvl w:ilvl="7" w:tplc="C5E8E3FE">
      <w:numFmt w:val="decimal"/>
      <w:lvlText w:val=""/>
      <w:lvlJc w:val="left"/>
    </w:lvl>
    <w:lvl w:ilvl="8" w:tplc="382E84F2">
      <w:numFmt w:val="decimal"/>
      <w:lvlText w:val=""/>
      <w:lvlJc w:val="left"/>
    </w:lvl>
  </w:abstractNum>
  <w:abstractNum w:abstractNumId="30" w15:restartNumberingAfterBreak="0">
    <w:nsid w:val="68FF5396"/>
    <w:multiLevelType w:val="hybridMultilevel"/>
    <w:tmpl w:val="CA04AB80"/>
    <w:lvl w:ilvl="0" w:tplc="5B680022">
      <w:start w:val="1"/>
      <w:numFmt w:val="bullet"/>
      <w:lvlText w:val=""/>
      <w:lvlJc w:val="left"/>
      <w:pPr>
        <w:ind w:left="1353" w:hanging="360"/>
      </w:pPr>
      <w:rPr>
        <w:rFonts w:ascii="Symbol" w:hAnsi="Symbol" w:hint="default"/>
      </w:rPr>
    </w:lvl>
    <w:lvl w:ilvl="1" w:tplc="5484B646">
      <w:start w:val="1"/>
      <w:numFmt w:val="bullet"/>
      <w:lvlText w:val="o"/>
      <w:lvlJc w:val="left"/>
      <w:pPr>
        <w:ind w:left="1080" w:hanging="360"/>
      </w:pPr>
      <w:rPr>
        <w:rFonts w:ascii="Courier New" w:hAnsi="Courier New" w:cs="Courier New" w:hint="default"/>
      </w:rPr>
    </w:lvl>
    <w:lvl w:ilvl="2" w:tplc="400EE5A6" w:tentative="1">
      <w:start w:val="1"/>
      <w:numFmt w:val="bullet"/>
      <w:lvlText w:val=""/>
      <w:lvlJc w:val="left"/>
      <w:pPr>
        <w:ind w:left="1800" w:hanging="360"/>
      </w:pPr>
      <w:rPr>
        <w:rFonts w:ascii="Wingdings" w:hAnsi="Wingdings" w:hint="default"/>
      </w:rPr>
    </w:lvl>
    <w:lvl w:ilvl="3" w:tplc="B1D00546" w:tentative="1">
      <w:start w:val="1"/>
      <w:numFmt w:val="bullet"/>
      <w:lvlText w:val=""/>
      <w:lvlJc w:val="left"/>
      <w:pPr>
        <w:ind w:left="2520" w:hanging="360"/>
      </w:pPr>
      <w:rPr>
        <w:rFonts w:ascii="Symbol" w:hAnsi="Symbol" w:hint="default"/>
      </w:rPr>
    </w:lvl>
    <w:lvl w:ilvl="4" w:tplc="BCD490F0" w:tentative="1">
      <w:start w:val="1"/>
      <w:numFmt w:val="bullet"/>
      <w:lvlText w:val="o"/>
      <w:lvlJc w:val="left"/>
      <w:pPr>
        <w:ind w:left="3240" w:hanging="360"/>
      </w:pPr>
      <w:rPr>
        <w:rFonts w:ascii="Courier New" w:hAnsi="Courier New" w:cs="Courier New" w:hint="default"/>
      </w:rPr>
    </w:lvl>
    <w:lvl w:ilvl="5" w:tplc="CE36A654" w:tentative="1">
      <w:start w:val="1"/>
      <w:numFmt w:val="bullet"/>
      <w:lvlText w:val=""/>
      <w:lvlJc w:val="left"/>
      <w:pPr>
        <w:ind w:left="3960" w:hanging="360"/>
      </w:pPr>
      <w:rPr>
        <w:rFonts w:ascii="Wingdings" w:hAnsi="Wingdings" w:hint="default"/>
      </w:rPr>
    </w:lvl>
    <w:lvl w:ilvl="6" w:tplc="5928BAD2" w:tentative="1">
      <w:start w:val="1"/>
      <w:numFmt w:val="bullet"/>
      <w:lvlText w:val=""/>
      <w:lvlJc w:val="left"/>
      <w:pPr>
        <w:ind w:left="4680" w:hanging="360"/>
      </w:pPr>
      <w:rPr>
        <w:rFonts w:ascii="Symbol" w:hAnsi="Symbol" w:hint="default"/>
      </w:rPr>
    </w:lvl>
    <w:lvl w:ilvl="7" w:tplc="C0063C30" w:tentative="1">
      <w:start w:val="1"/>
      <w:numFmt w:val="bullet"/>
      <w:lvlText w:val="o"/>
      <w:lvlJc w:val="left"/>
      <w:pPr>
        <w:ind w:left="5400" w:hanging="360"/>
      </w:pPr>
      <w:rPr>
        <w:rFonts w:ascii="Courier New" w:hAnsi="Courier New" w:cs="Courier New" w:hint="default"/>
      </w:rPr>
    </w:lvl>
    <w:lvl w:ilvl="8" w:tplc="4FEA3606" w:tentative="1">
      <w:start w:val="1"/>
      <w:numFmt w:val="bullet"/>
      <w:lvlText w:val=""/>
      <w:lvlJc w:val="left"/>
      <w:pPr>
        <w:ind w:left="6120" w:hanging="360"/>
      </w:pPr>
      <w:rPr>
        <w:rFonts w:ascii="Wingdings" w:hAnsi="Wingdings" w:hint="default"/>
      </w:rPr>
    </w:lvl>
  </w:abstractNum>
  <w:abstractNum w:abstractNumId="31" w15:restartNumberingAfterBreak="0">
    <w:nsid w:val="69E95A54"/>
    <w:multiLevelType w:val="hybridMultilevel"/>
    <w:tmpl w:val="3C18EFB0"/>
    <w:lvl w:ilvl="0" w:tplc="F5C092C4">
      <w:start w:val="1"/>
      <w:numFmt w:val="bullet"/>
      <w:lvlText w:val=""/>
      <w:lvlJc w:val="left"/>
      <w:pPr>
        <w:tabs>
          <w:tab w:val="num" w:pos="397"/>
        </w:tabs>
        <w:ind w:left="397" w:hanging="397"/>
      </w:pPr>
      <w:rPr>
        <w:rFonts w:ascii="Symbol" w:hAnsi="Symbol" w:hint="default"/>
      </w:rPr>
    </w:lvl>
    <w:lvl w:ilvl="1" w:tplc="DC70403C" w:tentative="1">
      <w:start w:val="1"/>
      <w:numFmt w:val="bullet"/>
      <w:lvlText w:val="o"/>
      <w:lvlJc w:val="left"/>
      <w:pPr>
        <w:tabs>
          <w:tab w:val="num" w:pos="1440"/>
        </w:tabs>
        <w:ind w:left="1440" w:hanging="360"/>
      </w:pPr>
      <w:rPr>
        <w:rFonts w:ascii="Courier New" w:hAnsi="Courier New" w:cs="Courier New" w:hint="default"/>
      </w:rPr>
    </w:lvl>
    <w:lvl w:ilvl="2" w:tplc="892CE390" w:tentative="1">
      <w:start w:val="1"/>
      <w:numFmt w:val="bullet"/>
      <w:lvlText w:val=""/>
      <w:lvlJc w:val="left"/>
      <w:pPr>
        <w:tabs>
          <w:tab w:val="num" w:pos="2160"/>
        </w:tabs>
        <w:ind w:left="2160" w:hanging="360"/>
      </w:pPr>
      <w:rPr>
        <w:rFonts w:ascii="Wingdings" w:hAnsi="Wingdings" w:hint="default"/>
      </w:rPr>
    </w:lvl>
    <w:lvl w:ilvl="3" w:tplc="87C64758" w:tentative="1">
      <w:start w:val="1"/>
      <w:numFmt w:val="bullet"/>
      <w:lvlText w:val=""/>
      <w:lvlJc w:val="left"/>
      <w:pPr>
        <w:tabs>
          <w:tab w:val="num" w:pos="2880"/>
        </w:tabs>
        <w:ind w:left="2880" w:hanging="360"/>
      </w:pPr>
      <w:rPr>
        <w:rFonts w:ascii="Symbol" w:hAnsi="Symbol" w:hint="default"/>
      </w:rPr>
    </w:lvl>
    <w:lvl w:ilvl="4" w:tplc="7F24EC42" w:tentative="1">
      <w:start w:val="1"/>
      <w:numFmt w:val="bullet"/>
      <w:lvlText w:val="o"/>
      <w:lvlJc w:val="left"/>
      <w:pPr>
        <w:tabs>
          <w:tab w:val="num" w:pos="3600"/>
        </w:tabs>
        <w:ind w:left="3600" w:hanging="360"/>
      </w:pPr>
      <w:rPr>
        <w:rFonts w:ascii="Courier New" w:hAnsi="Courier New" w:cs="Courier New" w:hint="default"/>
      </w:rPr>
    </w:lvl>
    <w:lvl w:ilvl="5" w:tplc="4F4A4A12" w:tentative="1">
      <w:start w:val="1"/>
      <w:numFmt w:val="bullet"/>
      <w:lvlText w:val=""/>
      <w:lvlJc w:val="left"/>
      <w:pPr>
        <w:tabs>
          <w:tab w:val="num" w:pos="4320"/>
        </w:tabs>
        <w:ind w:left="4320" w:hanging="360"/>
      </w:pPr>
      <w:rPr>
        <w:rFonts w:ascii="Wingdings" w:hAnsi="Wingdings" w:hint="default"/>
      </w:rPr>
    </w:lvl>
    <w:lvl w:ilvl="6" w:tplc="0486CDE6" w:tentative="1">
      <w:start w:val="1"/>
      <w:numFmt w:val="bullet"/>
      <w:lvlText w:val=""/>
      <w:lvlJc w:val="left"/>
      <w:pPr>
        <w:tabs>
          <w:tab w:val="num" w:pos="5040"/>
        </w:tabs>
        <w:ind w:left="5040" w:hanging="360"/>
      </w:pPr>
      <w:rPr>
        <w:rFonts w:ascii="Symbol" w:hAnsi="Symbol" w:hint="default"/>
      </w:rPr>
    </w:lvl>
    <w:lvl w:ilvl="7" w:tplc="999A504A" w:tentative="1">
      <w:start w:val="1"/>
      <w:numFmt w:val="bullet"/>
      <w:lvlText w:val="o"/>
      <w:lvlJc w:val="left"/>
      <w:pPr>
        <w:tabs>
          <w:tab w:val="num" w:pos="5760"/>
        </w:tabs>
        <w:ind w:left="5760" w:hanging="360"/>
      </w:pPr>
      <w:rPr>
        <w:rFonts w:ascii="Courier New" w:hAnsi="Courier New" w:cs="Courier New" w:hint="default"/>
      </w:rPr>
    </w:lvl>
    <w:lvl w:ilvl="8" w:tplc="805CD6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F0184764"/>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C1C358D"/>
    <w:multiLevelType w:val="hybridMultilevel"/>
    <w:tmpl w:val="82384374"/>
    <w:lvl w:ilvl="0" w:tplc="48729832">
      <w:start w:val="1"/>
      <w:numFmt w:val="decimal"/>
      <w:lvlText w:val="(%1)"/>
      <w:lvlJc w:val="left"/>
      <w:pPr>
        <w:ind w:left="360" w:hanging="360"/>
      </w:pPr>
    </w:lvl>
    <w:lvl w:ilvl="1" w:tplc="55CE5146">
      <w:start w:val="1"/>
      <w:numFmt w:val="lowerLetter"/>
      <w:lvlText w:val="%2."/>
      <w:lvlJc w:val="left"/>
      <w:pPr>
        <w:ind w:left="1080" w:hanging="360"/>
      </w:pPr>
    </w:lvl>
    <w:lvl w:ilvl="2" w:tplc="7D8AA62A">
      <w:start w:val="1"/>
      <w:numFmt w:val="lowerRoman"/>
      <w:lvlText w:val="%3."/>
      <w:lvlJc w:val="right"/>
      <w:pPr>
        <w:ind w:left="1800" w:hanging="180"/>
      </w:pPr>
    </w:lvl>
    <w:lvl w:ilvl="3" w:tplc="436E558E">
      <w:start w:val="1"/>
      <w:numFmt w:val="decimal"/>
      <w:lvlText w:val="%4."/>
      <w:lvlJc w:val="left"/>
      <w:pPr>
        <w:ind w:left="2520" w:hanging="360"/>
      </w:pPr>
    </w:lvl>
    <w:lvl w:ilvl="4" w:tplc="7DBAED7A">
      <w:start w:val="1"/>
      <w:numFmt w:val="lowerLetter"/>
      <w:lvlText w:val="%5."/>
      <w:lvlJc w:val="left"/>
      <w:pPr>
        <w:ind w:left="3240" w:hanging="360"/>
      </w:pPr>
    </w:lvl>
    <w:lvl w:ilvl="5" w:tplc="ED0453A0">
      <w:start w:val="1"/>
      <w:numFmt w:val="lowerRoman"/>
      <w:lvlText w:val="%6."/>
      <w:lvlJc w:val="right"/>
      <w:pPr>
        <w:ind w:left="3960" w:hanging="180"/>
      </w:pPr>
    </w:lvl>
    <w:lvl w:ilvl="6" w:tplc="BCE08B32">
      <w:start w:val="1"/>
      <w:numFmt w:val="decimal"/>
      <w:lvlText w:val="%7."/>
      <w:lvlJc w:val="left"/>
      <w:pPr>
        <w:ind w:left="4680" w:hanging="360"/>
      </w:pPr>
    </w:lvl>
    <w:lvl w:ilvl="7" w:tplc="A5ECD208">
      <w:start w:val="1"/>
      <w:numFmt w:val="lowerLetter"/>
      <w:lvlText w:val="%8."/>
      <w:lvlJc w:val="left"/>
      <w:pPr>
        <w:ind w:left="5400" w:hanging="360"/>
      </w:pPr>
    </w:lvl>
    <w:lvl w:ilvl="8" w:tplc="1FDEE282">
      <w:start w:val="1"/>
      <w:numFmt w:val="lowerRoman"/>
      <w:lvlText w:val="%9."/>
      <w:lvlJc w:val="right"/>
      <w:pPr>
        <w:ind w:left="6120" w:hanging="180"/>
      </w:pPr>
    </w:lvl>
  </w:abstractNum>
  <w:abstractNum w:abstractNumId="34" w15:restartNumberingAfterBreak="0">
    <w:nsid w:val="6D6D45F8"/>
    <w:multiLevelType w:val="hybridMultilevel"/>
    <w:tmpl w:val="07883E9A"/>
    <w:lvl w:ilvl="0" w:tplc="998AB9CC">
      <w:start w:val="1"/>
      <w:numFmt w:val="decimal"/>
      <w:lvlText w:val="%1."/>
      <w:lvlJc w:val="left"/>
      <w:pPr>
        <w:tabs>
          <w:tab w:val="num" w:pos="720"/>
        </w:tabs>
        <w:ind w:left="720" w:hanging="720"/>
      </w:pPr>
    </w:lvl>
    <w:lvl w:ilvl="1" w:tplc="4F840834">
      <w:start w:val="1"/>
      <w:numFmt w:val="decimal"/>
      <w:lvlText w:val="%2."/>
      <w:lvlJc w:val="left"/>
      <w:pPr>
        <w:tabs>
          <w:tab w:val="num" w:pos="1440"/>
        </w:tabs>
        <w:ind w:left="1440" w:hanging="720"/>
      </w:pPr>
    </w:lvl>
    <w:lvl w:ilvl="2" w:tplc="2F52AA22">
      <w:start w:val="1"/>
      <w:numFmt w:val="decimal"/>
      <w:lvlText w:val="%3."/>
      <w:lvlJc w:val="left"/>
      <w:pPr>
        <w:tabs>
          <w:tab w:val="num" w:pos="2160"/>
        </w:tabs>
        <w:ind w:left="2160" w:hanging="720"/>
      </w:pPr>
    </w:lvl>
    <w:lvl w:ilvl="3" w:tplc="6166DF20">
      <w:start w:val="1"/>
      <w:numFmt w:val="decimal"/>
      <w:lvlText w:val="%4."/>
      <w:lvlJc w:val="left"/>
      <w:pPr>
        <w:tabs>
          <w:tab w:val="num" w:pos="2880"/>
        </w:tabs>
        <w:ind w:left="2880" w:hanging="720"/>
      </w:pPr>
    </w:lvl>
    <w:lvl w:ilvl="4" w:tplc="4AD2C876">
      <w:start w:val="1"/>
      <w:numFmt w:val="decimal"/>
      <w:lvlText w:val="%5."/>
      <w:lvlJc w:val="left"/>
      <w:pPr>
        <w:tabs>
          <w:tab w:val="num" w:pos="3600"/>
        </w:tabs>
        <w:ind w:left="3600" w:hanging="720"/>
      </w:pPr>
    </w:lvl>
    <w:lvl w:ilvl="5" w:tplc="0772F460">
      <w:start w:val="1"/>
      <w:numFmt w:val="decimal"/>
      <w:lvlText w:val="%6."/>
      <w:lvlJc w:val="left"/>
      <w:pPr>
        <w:tabs>
          <w:tab w:val="num" w:pos="4320"/>
        </w:tabs>
        <w:ind w:left="4320" w:hanging="720"/>
      </w:pPr>
    </w:lvl>
    <w:lvl w:ilvl="6" w:tplc="943E7628">
      <w:start w:val="1"/>
      <w:numFmt w:val="decimal"/>
      <w:lvlText w:val="%7."/>
      <w:lvlJc w:val="left"/>
      <w:pPr>
        <w:tabs>
          <w:tab w:val="num" w:pos="5040"/>
        </w:tabs>
        <w:ind w:left="5040" w:hanging="720"/>
      </w:pPr>
    </w:lvl>
    <w:lvl w:ilvl="7" w:tplc="39722176">
      <w:start w:val="1"/>
      <w:numFmt w:val="decimal"/>
      <w:lvlText w:val="%8."/>
      <w:lvlJc w:val="left"/>
      <w:pPr>
        <w:tabs>
          <w:tab w:val="num" w:pos="5760"/>
        </w:tabs>
        <w:ind w:left="5760" w:hanging="720"/>
      </w:pPr>
    </w:lvl>
    <w:lvl w:ilvl="8" w:tplc="F54AE030">
      <w:start w:val="1"/>
      <w:numFmt w:val="decimal"/>
      <w:lvlText w:val="%9."/>
      <w:lvlJc w:val="left"/>
      <w:pPr>
        <w:tabs>
          <w:tab w:val="num" w:pos="6480"/>
        </w:tabs>
        <w:ind w:left="6480" w:hanging="720"/>
      </w:pPr>
    </w:lvl>
  </w:abstractNum>
  <w:abstractNum w:abstractNumId="35" w15:restartNumberingAfterBreak="0">
    <w:nsid w:val="6D941758"/>
    <w:multiLevelType w:val="hybridMultilevel"/>
    <w:tmpl w:val="98907B74"/>
    <w:lvl w:ilvl="0" w:tplc="2AF0A926">
      <w:start w:val="1"/>
      <w:numFmt w:val="decimal"/>
      <w:lvlText w:val="%1."/>
      <w:lvlJc w:val="left"/>
      <w:pPr>
        <w:tabs>
          <w:tab w:val="num" w:pos="360"/>
        </w:tabs>
        <w:ind w:left="360" w:hanging="360"/>
      </w:pPr>
      <w:rPr>
        <w:rFonts w:hint="default"/>
        <w:b/>
      </w:rPr>
    </w:lvl>
    <w:lvl w:ilvl="1" w:tplc="9710C194">
      <w:numFmt w:val="decimal"/>
      <w:lvlText w:val=""/>
      <w:lvlJc w:val="left"/>
    </w:lvl>
    <w:lvl w:ilvl="2" w:tplc="D9E60AA8">
      <w:numFmt w:val="decimal"/>
      <w:lvlText w:val=""/>
      <w:lvlJc w:val="left"/>
    </w:lvl>
    <w:lvl w:ilvl="3" w:tplc="173A5B76">
      <w:numFmt w:val="decimal"/>
      <w:lvlText w:val=""/>
      <w:lvlJc w:val="left"/>
    </w:lvl>
    <w:lvl w:ilvl="4" w:tplc="11CC09EC">
      <w:numFmt w:val="decimal"/>
      <w:lvlText w:val=""/>
      <w:lvlJc w:val="left"/>
    </w:lvl>
    <w:lvl w:ilvl="5" w:tplc="15F6EDF0">
      <w:numFmt w:val="decimal"/>
      <w:lvlText w:val=""/>
      <w:lvlJc w:val="left"/>
    </w:lvl>
    <w:lvl w:ilvl="6" w:tplc="B05A23B4">
      <w:numFmt w:val="decimal"/>
      <w:lvlText w:val=""/>
      <w:lvlJc w:val="left"/>
    </w:lvl>
    <w:lvl w:ilvl="7" w:tplc="14984D10">
      <w:numFmt w:val="decimal"/>
      <w:lvlText w:val=""/>
      <w:lvlJc w:val="left"/>
    </w:lvl>
    <w:lvl w:ilvl="8" w:tplc="B1B4CC98">
      <w:numFmt w:val="decimal"/>
      <w:lvlText w:val=""/>
      <w:lvlJc w:val="left"/>
    </w:lvl>
  </w:abstractNum>
  <w:abstractNum w:abstractNumId="36" w15:restartNumberingAfterBreak="0">
    <w:nsid w:val="6F9337D0"/>
    <w:multiLevelType w:val="hybridMultilevel"/>
    <w:tmpl w:val="B6C885E6"/>
    <w:lvl w:ilvl="0" w:tplc="96F252AE">
      <w:start w:val="1"/>
      <w:numFmt w:val="bullet"/>
      <w:lvlText w:val=""/>
      <w:lvlJc w:val="left"/>
      <w:pPr>
        <w:tabs>
          <w:tab w:val="num" w:pos="720"/>
        </w:tabs>
        <w:ind w:left="720" w:hanging="360"/>
      </w:pPr>
      <w:rPr>
        <w:rFonts w:ascii="Symbol" w:hAnsi="Symbol" w:hint="default"/>
      </w:rPr>
    </w:lvl>
    <w:lvl w:ilvl="1" w:tplc="550E5358" w:tentative="1">
      <w:start w:val="1"/>
      <w:numFmt w:val="bullet"/>
      <w:lvlText w:val="o"/>
      <w:lvlJc w:val="left"/>
      <w:pPr>
        <w:tabs>
          <w:tab w:val="num" w:pos="1440"/>
        </w:tabs>
        <w:ind w:left="1440" w:hanging="360"/>
      </w:pPr>
      <w:rPr>
        <w:rFonts w:ascii="Courier New" w:hAnsi="Courier New" w:cs="Courier New" w:hint="default"/>
      </w:rPr>
    </w:lvl>
    <w:lvl w:ilvl="2" w:tplc="C27CC634" w:tentative="1">
      <w:start w:val="1"/>
      <w:numFmt w:val="bullet"/>
      <w:lvlText w:val=""/>
      <w:lvlJc w:val="left"/>
      <w:pPr>
        <w:tabs>
          <w:tab w:val="num" w:pos="2160"/>
        </w:tabs>
        <w:ind w:left="2160" w:hanging="360"/>
      </w:pPr>
      <w:rPr>
        <w:rFonts w:ascii="Wingdings" w:hAnsi="Wingdings" w:hint="default"/>
      </w:rPr>
    </w:lvl>
    <w:lvl w:ilvl="3" w:tplc="383C9EF6" w:tentative="1">
      <w:start w:val="1"/>
      <w:numFmt w:val="bullet"/>
      <w:lvlText w:val=""/>
      <w:lvlJc w:val="left"/>
      <w:pPr>
        <w:tabs>
          <w:tab w:val="num" w:pos="2880"/>
        </w:tabs>
        <w:ind w:left="2880" w:hanging="360"/>
      </w:pPr>
      <w:rPr>
        <w:rFonts w:ascii="Symbol" w:hAnsi="Symbol" w:hint="default"/>
      </w:rPr>
    </w:lvl>
    <w:lvl w:ilvl="4" w:tplc="F46EAFAC" w:tentative="1">
      <w:start w:val="1"/>
      <w:numFmt w:val="bullet"/>
      <w:lvlText w:val="o"/>
      <w:lvlJc w:val="left"/>
      <w:pPr>
        <w:tabs>
          <w:tab w:val="num" w:pos="3600"/>
        </w:tabs>
        <w:ind w:left="3600" w:hanging="360"/>
      </w:pPr>
      <w:rPr>
        <w:rFonts w:ascii="Courier New" w:hAnsi="Courier New" w:cs="Courier New" w:hint="default"/>
      </w:rPr>
    </w:lvl>
    <w:lvl w:ilvl="5" w:tplc="0518B718" w:tentative="1">
      <w:start w:val="1"/>
      <w:numFmt w:val="bullet"/>
      <w:lvlText w:val=""/>
      <w:lvlJc w:val="left"/>
      <w:pPr>
        <w:tabs>
          <w:tab w:val="num" w:pos="4320"/>
        </w:tabs>
        <w:ind w:left="4320" w:hanging="360"/>
      </w:pPr>
      <w:rPr>
        <w:rFonts w:ascii="Wingdings" w:hAnsi="Wingdings" w:hint="default"/>
      </w:rPr>
    </w:lvl>
    <w:lvl w:ilvl="6" w:tplc="B4BC1A3A" w:tentative="1">
      <w:start w:val="1"/>
      <w:numFmt w:val="bullet"/>
      <w:lvlText w:val=""/>
      <w:lvlJc w:val="left"/>
      <w:pPr>
        <w:tabs>
          <w:tab w:val="num" w:pos="5040"/>
        </w:tabs>
        <w:ind w:left="5040" w:hanging="360"/>
      </w:pPr>
      <w:rPr>
        <w:rFonts w:ascii="Symbol" w:hAnsi="Symbol" w:hint="default"/>
      </w:rPr>
    </w:lvl>
    <w:lvl w:ilvl="7" w:tplc="71CC2BD4" w:tentative="1">
      <w:start w:val="1"/>
      <w:numFmt w:val="bullet"/>
      <w:lvlText w:val="o"/>
      <w:lvlJc w:val="left"/>
      <w:pPr>
        <w:tabs>
          <w:tab w:val="num" w:pos="5760"/>
        </w:tabs>
        <w:ind w:left="5760" w:hanging="360"/>
      </w:pPr>
      <w:rPr>
        <w:rFonts w:ascii="Courier New" w:hAnsi="Courier New" w:cs="Courier New" w:hint="default"/>
      </w:rPr>
    </w:lvl>
    <w:lvl w:ilvl="8" w:tplc="E326DA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32A58"/>
    <w:multiLevelType w:val="hybridMultilevel"/>
    <w:tmpl w:val="48069458"/>
    <w:lvl w:ilvl="0" w:tplc="558C4754">
      <w:start w:val="1"/>
      <w:numFmt w:val="decimal"/>
      <w:lvlText w:val="%1."/>
      <w:lvlJc w:val="left"/>
      <w:pPr>
        <w:ind w:left="720" w:hanging="360"/>
      </w:pPr>
    </w:lvl>
    <w:lvl w:ilvl="1" w:tplc="F55678BE" w:tentative="1">
      <w:start w:val="1"/>
      <w:numFmt w:val="lowerLetter"/>
      <w:lvlText w:val="%2."/>
      <w:lvlJc w:val="left"/>
      <w:pPr>
        <w:ind w:left="1440" w:hanging="360"/>
      </w:pPr>
    </w:lvl>
    <w:lvl w:ilvl="2" w:tplc="998C2A46" w:tentative="1">
      <w:start w:val="1"/>
      <w:numFmt w:val="lowerRoman"/>
      <w:lvlText w:val="%3."/>
      <w:lvlJc w:val="right"/>
      <w:pPr>
        <w:ind w:left="2160" w:hanging="180"/>
      </w:pPr>
    </w:lvl>
    <w:lvl w:ilvl="3" w:tplc="10D2859C" w:tentative="1">
      <w:start w:val="1"/>
      <w:numFmt w:val="decimal"/>
      <w:lvlText w:val="%4."/>
      <w:lvlJc w:val="left"/>
      <w:pPr>
        <w:ind w:left="2880" w:hanging="360"/>
      </w:pPr>
    </w:lvl>
    <w:lvl w:ilvl="4" w:tplc="11E0189E" w:tentative="1">
      <w:start w:val="1"/>
      <w:numFmt w:val="lowerLetter"/>
      <w:lvlText w:val="%5."/>
      <w:lvlJc w:val="left"/>
      <w:pPr>
        <w:ind w:left="3600" w:hanging="360"/>
      </w:pPr>
    </w:lvl>
    <w:lvl w:ilvl="5" w:tplc="A7DAEC9E" w:tentative="1">
      <w:start w:val="1"/>
      <w:numFmt w:val="lowerRoman"/>
      <w:lvlText w:val="%6."/>
      <w:lvlJc w:val="right"/>
      <w:pPr>
        <w:ind w:left="4320" w:hanging="180"/>
      </w:pPr>
    </w:lvl>
    <w:lvl w:ilvl="6" w:tplc="F7844F8A" w:tentative="1">
      <w:start w:val="1"/>
      <w:numFmt w:val="decimal"/>
      <w:lvlText w:val="%7."/>
      <w:lvlJc w:val="left"/>
      <w:pPr>
        <w:ind w:left="5040" w:hanging="360"/>
      </w:pPr>
    </w:lvl>
    <w:lvl w:ilvl="7" w:tplc="B70AA5CA" w:tentative="1">
      <w:start w:val="1"/>
      <w:numFmt w:val="lowerLetter"/>
      <w:lvlText w:val="%8."/>
      <w:lvlJc w:val="left"/>
      <w:pPr>
        <w:ind w:left="5760" w:hanging="360"/>
      </w:pPr>
    </w:lvl>
    <w:lvl w:ilvl="8" w:tplc="A2644128" w:tentative="1">
      <w:start w:val="1"/>
      <w:numFmt w:val="lowerRoman"/>
      <w:lvlText w:val="%9."/>
      <w:lvlJc w:val="right"/>
      <w:pPr>
        <w:ind w:left="6480" w:hanging="180"/>
      </w:pPr>
    </w:lvl>
  </w:abstractNum>
  <w:abstractNum w:abstractNumId="38" w15:restartNumberingAfterBreak="0">
    <w:nsid w:val="72AB50F1"/>
    <w:multiLevelType w:val="hybridMultilevel"/>
    <w:tmpl w:val="64CEA6CC"/>
    <w:lvl w:ilvl="0" w:tplc="2D186CF2">
      <w:start w:val="1"/>
      <w:numFmt w:val="decimal"/>
      <w:lvlText w:val="%1)"/>
      <w:lvlJc w:val="left"/>
      <w:pPr>
        <w:ind w:left="720" w:hanging="360"/>
      </w:pPr>
      <w:rPr>
        <w:rFonts w:hint="default"/>
      </w:rPr>
    </w:lvl>
    <w:lvl w:ilvl="1" w:tplc="D7D2328C" w:tentative="1">
      <w:start w:val="1"/>
      <w:numFmt w:val="lowerLetter"/>
      <w:lvlText w:val="%2."/>
      <w:lvlJc w:val="left"/>
      <w:pPr>
        <w:ind w:left="1440" w:hanging="360"/>
      </w:pPr>
    </w:lvl>
    <w:lvl w:ilvl="2" w:tplc="B088074E" w:tentative="1">
      <w:start w:val="1"/>
      <w:numFmt w:val="lowerRoman"/>
      <w:lvlText w:val="%3."/>
      <w:lvlJc w:val="right"/>
      <w:pPr>
        <w:ind w:left="2160" w:hanging="180"/>
      </w:pPr>
    </w:lvl>
    <w:lvl w:ilvl="3" w:tplc="B758210A" w:tentative="1">
      <w:start w:val="1"/>
      <w:numFmt w:val="decimal"/>
      <w:lvlText w:val="%4."/>
      <w:lvlJc w:val="left"/>
      <w:pPr>
        <w:ind w:left="2880" w:hanging="360"/>
      </w:pPr>
    </w:lvl>
    <w:lvl w:ilvl="4" w:tplc="E9CA8430" w:tentative="1">
      <w:start w:val="1"/>
      <w:numFmt w:val="lowerLetter"/>
      <w:lvlText w:val="%5."/>
      <w:lvlJc w:val="left"/>
      <w:pPr>
        <w:ind w:left="3600" w:hanging="360"/>
      </w:pPr>
    </w:lvl>
    <w:lvl w:ilvl="5" w:tplc="97728588" w:tentative="1">
      <w:start w:val="1"/>
      <w:numFmt w:val="lowerRoman"/>
      <w:lvlText w:val="%6."/>
      <w:lvlJc w:val="right"/>
      <w:pPr>
        <w:ind w:left="4320" w:hanging="180"/>
      </w:pPr>
    </w:lvl>
    <w:lvl w:ilvl="6" w:tplc="12302AB4" w:tentative="1">
      <w:start w:val="1"/>
      <w:numFmt w:val="decimal"/>
      <w:lvlText w:val="%7."/>
      <w:lvlJc w:val="left"/>
      <w:pPr>
        <w:ind w:left="5040" w:hanging="360"/>
      </w:pPr>
    </w:lvl>
    <w:lvl w:ilvl="7" w:tplc="B5E82244" w:tentative="1">
      <w:start w:val="1"/>
      <w:numFmt w:val="lowerLetter"/>
      <w:lvlText w:val="%8."/>
      <w:lvlJc w:val="left"/>
      <w:pPr>
        <w:ind w:left="5760" w:hanging="360"/>
      </w:pPr>
    </w:lvl>
    <w:lvl w:ilvl="8" w:tplc="D48CB468" w:tentative="1">
      <w:start w:val="1"/>
      <w:numFmt w:val="lowerRoman"/>
      <w:lvlText w:val="%9."/>
      <w:lvlJc w:val="right"/>
      <w:pPr>
        <w:ind w:left="6480" w:hanging="180"/>
      </w:pPr>
    </w:lvl>
  </w:abstractNum>
  <w:abstractNum w:abstractNumId="39" w15:restartNumberingAfterBreak="0">
    <w:nsid w:val="74DC5B05"/>
    <w:multiLevelType w:val="hybridMultilevel"/>
    <w:tmpl w:val="81564894"/>
    <w:lvl w:ilvl="0" w:tplc="280E0C0E">
      <w:start w:val="1"/>
      <w:numFmt w:val="lowerLetter"/>
      <w:pStyle w:val="ListFooterAlpha"/>
      <w:lvlText w:val="%1"/>
      <w:lvlJc w:val="left"/>
      <w:pPr>
        <w:ind w:left="450" w:hanging="360"/>
      </w:pPr>
      <w:rPr>
        <w:rFonts w:hint="default"/>
        <w:vertAlign w:val="baseline"/>
      </w:rPr>
    </w:lvl>
    <w:lvl w:ilvl="1" w:tplc="B122EB84">
      <w:start w:val="1"/>
      <w:numFmt w:val="none"/>
      <w:lvlText w:val=""/>
      <w:lvlJc w:val="left"/>
      <w:pPr>
        <w:ind w:left="720" w:hanging="360"/>
      </w:pPr>
      <w:rPr>
        <w:rFonts w:hint="default"/>
      </w:rPr>
    </w:lvl>
    <w:lvl w:ilvl="2" w:tplc="E96203FE">
      <w:start w:val="1"/>
      <w:numFmt w:val="none"/>
      <w:lvlText w:val=""/>
      <w:lvlJc w:val="left"/>
      <w:pPr>
        <w:ind w:left="1080" w:hanging="360"/>
      </w:pPr>
      <w:rPr>
        <w:rFonts w:hint="default"/>
      </w:rPr>
    </w:lvl>
    <w:lvl w:ilvl="3" w:tplc="9B44FA5A">
      <w:start w:val="1"/>
      <w:numFmt w:val="none"/>
      <w:lvlText w:val=""/>
      <w:lvlJc w:val="left"/>
      <w:pPr>
        <w:ind w:left="1440" w:hanging="360"/>
      </w:pPr>
      <w:rPr>
        <w:rFonts w:hint="default"/>
      </w:rPr>
    </w:lvl>
    <w:lvl w:ilvl="4" w:tplc="D06E8E44">
      <w:start w:val="1"/>
      <w:numFmt w:val="none"/>
      <w:lvlText w:val=""/>
      <w:lvlJc w:val="left"/>
      <w:pPr>
        <w:ind w:left="1800" w:hanging="360"/>
      </w:pPr>
      <w:rPr>
        <w:rFonts w:hint="default"/>
      </w:rPr>
    </w:lvl>
    <w:lvl w:ilvl="5" w:tplc="56101330">
      <w:start w:val="1"/>
      <w:numFmt w:val="none"/>
      <w:lvlText w:val=""/>
      <w:lvlJc w:val="left"/>
      <w:pPr>
        <w:ind w:left="2160" w:hanging="360"/>
      </w:pPr>
      <w:rPr>
        <w:rFonts w:hint="default"/>
      </w:rPr>
    </w:lvl>
    <w:lvl w:ilvl="6" w:tplc="97A4ED4C">
      <w:start w:val="1"/>
      <w:numFmt w:val="none"/>
      <w:lvlText w:val=""/>
      <w:lvlJc w:val="left"/>
      <w:pPr>
        <w:ind w:left="2520" w:hanging="360"/>
      </w:pPr>
      <w:rPr>
        <w:rFonts w:hint="default"/>
      </w:rPr>
    </w:lvl>
    <w:lvl w:ilvl="7" w:tplc="365CC5C8">
      <w:start w:val="1"/>
      <w:numFmt w:val="none"/>
      <w:lvlText w:val=""/>
      <w:lvlJc w:val="left"/>
      <w:pPr>
        <w:ind w:left="2880" w:hanging="360"/>
      </w:pPr>
      <w:rPr>
        <w:rFonts w:hint="default"/>
      </w:rPr>
    </w:lvl>
    <w:lvl w:ilvl="8" w:tplc="3968999E">
      <w:start w:val="1"/>
      <w:numFmt w:val="none"/>
      <w:lvlText w:val=""/>
      <w:lvlJc w:val="left"/>
      <w:pPr>
        <w:ind w:left="3240" w:hanging="360"/>
      </w:pPr>
      <w:rPr>
        <w:rFonts w:hint="default"/>
      </w:rPr>
    </w:lvl>
  </w:abstractNum>
  <w:abstractNum w:abstractNumId="40" w15:restartNumberingAfterBreak="0">
    <w:nsid w:val="78726D2E"/>
    <w:multiLevelType w:val="multilevel"/>
    <w:tmpl w:val="4036CE2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B54152F"/>
    <w:multiLevelType w:val="hybridMultilevel"/>
    <w:tmpl w:val="1AC4145E"/>
    <w:lvl w:ilvl="0" w:tplc="32262F12">
      <w:start w:val="1"/>
      <w:numFmt w:val="bullet"/>
      <w:lvlText w:val=""/>
      <w:lvlJc w:val="left"/>
      <w:pPr>
        <w:tabs>
          <w:tab w:val="num" w:pos="-323"/>
        </w:tabs>
        <w:ind w:left="358" w:hanging="358"/>
      </w:pPr>
      <w:rPr>
        <w:rFonts w:ascii="Symbol" w:hAnsi="Symbol" w:hint="default"/>
        <w:color w:val="auto"/>
        <w:sz w:val="20"/>
        <w:szCs w:val="20"/>
      </w:rPr>
    </w:lvl>
    <w:lvl w:ilvl="1" w:tplc="25DE1D6A" w:tentative="1">
      <w:start w:val="1"/>
      <w:numFmt w:val="bullet"/>
      <w:lvlText w:val="o"/>
      <w:lvlJc w:val="left"/>
      <w:pPr>
        <w:tabs>
          <w:tab w:val="num" w:pos="760"/>
        </w:tabs>
        <w:ind w:left="760" w:hanging="360"/>
      </w:pPr>
      <w:rPr>
        <w:rFonts w:ascii="Courier New" w:hAnsi="Courier New" w:cs="Courier New" w:hint="default"/>
      </w:rPr>
    </w:lvl>
    <w:lvl w:ilvl="2" w:tplc="DA72CE9A" w:tentative="1">
      <w:start w:val="1"/>
      <w:numFmt w:val="bullet"/>
      <w:lvlText w:val=""/>
      <w:lvlJc w:val="left"/>
      <w:pPr>
        <w:tabs>
          <w:tab w:val="num" w:pos="1480"/>
        </w:tabs>
        <w:ind w:left="1480" w:hanging="360"/>
      </w:pPr>
      <w:rPr>
        <w:rFonts w:ascii="Wingdings" w:hAnsi="Wingdings" w:hint="default"/>
      </w:rPr>
    </w:lvl>
    <w:lvl w:ilvl="3" w:tplc="7A0476A4" w:tentative="1">
      <w:start w:val="1"/>
      <w:numFmt w:val="bullet"/>
      <w:lvlText w:val=""/>
      <w:lvlJc w:val="left"/>
      <w:pPr>
        <w:tabs>
          <w:tab w:val="num" w:pos="2200"/>
        </w:tabs>
        <w:ind w:left="2200" w:hanging="360"/>
      </w:pPr>
      <w:rPr>
        <w:rFonts w:ascii="Symbol" w:hAnsi="Symbol" w:hint="default"/>
      </w:rPr>
    </w:lvl>
    <w:lvl w:ilvl="4" w:tplc="D8840200" w:tentative="1">
      <w:start w:val="1"/>
      <w:numFmt w:val="bullet"/>
      <w:lvlText w:val="o"/>
      <w:lvlJc w:val="left"/>
      <w:pPr>
        <w:tabs>
          <w:tab w:val="num" w:pos="2920"/>
        </w:tabs>
        <w:ind w:left="2920" w:hanging="360"/>
      </w:pPr>
      <w:rPr>
        <w:rFonts w:ascii="Courier New" w:hAnsi="Courier New" w:cs="Courier New" w:hint="default"/>
      </w:rPr>
    </w:lvl>
    <w:lvl w:ilvl="5" w:tplc="17D6E344" w:tentative="1">
      <w:start w:val="1"/>
      <w:numFmt w:val="bullet"/>
      <w:lvlText w:val=""/>
      <w:lvlJc w:val="left"/>
      <w:pPr>
        <w:tabs>
          <w:tab w:val="num" w:pos="3640"/>
        </w:tabs>
        <w:ind w:left="3640" w:hanging="360"/>
      </w:pPr>
      <w:rPr>
        <w:rFonts w:ascii="Wingdings" w:hAnsi="Wingdings" w:hint="default"/>
      </w:rPr>
    </w:lvl>
    <w:lvl w:ilvl="6" w:tplc="642A0B48" w:tentative="1">
      <w:start w:val="1"/>
      <w:numFmt w:val="bullet"/>
      <w:lvlText w:val=""/>
      <w:lvlJc w:val="left"/>
      <w:pPr>
        <w:tabs>
          <w:tab w:val="num" w:pos="4360"/>
        </w:tabs>
        <w:ind w:left="4360" w:hanging="360"/>
      </w:pPr>
      <w:rPr>
        <w:rFonts w:ascii="Symbol" w:hAnsi="Symbol" w:hint="default"/>
      </w:rPr>
    </w:lvl>
    <w:lvl w:ilvl="7" w:tplc="3C448C9E" w:tentative="1">
      <w:start w:val="1"/>
      <w:numFmt w:val="bullet"/>
      <w:lvlText w:val="o"/>
      <w:lvlJc w:val="left"/>
      <w:pPr>
        <w:tabs>
          <w:tab w:val="num" w:pos="5080"/>
        </w:tabs>
        <w:ind w:left="5080" w:hanging="360"/>
      </w:pPr>
      <w:rPr>
        <w:rFonts w:ascii="Courier New" w:hAnsi="Courier New" w:cs="Courier New" w:hint="default"/>
      </w:rPr>
    </w:lvl>
    <w:lvl w:ilvl="8" w:tplc="F2E4DDCC" w:tentative="1">
      <w:start w:val="1"/>
      <w:numFmt w:val="bullet"/>
      <w:lvlText w:val=""/>
      <w:lvlJc w:val="left"/>
      <w:pPr>
        <w:tabs>
          <w:tab w:val="num" w:pos="5800"/>
        </w:tabs>
        <w:ind w:left="5800" w:hanging="360"/>
      </w:pPr>
      <w:rPr>
        <w:rFonts w:ascii="Wingdings" w:hAnsi="Wingdings" w:hint="default"/>
      </w:rPr>
    </w:lvl>
  </w:abstractNum>
  <w:num w:numId="1" w16cid:durableId="1124226625">
    <w:abstractNumId w:val="3"/>
  </w:num>
  <w:num w:numId="2" w16cid:durableId="1850560841">
    <w:abstractNumId w:val="28"/>
  </w:num>
  <w:num w:numId="3" w16cid:durableId="976839047">
    <w:abstractNumId w:val="0"/>
    <w:lvlOverride w:ilvl="0">
      <w:lvl w:ilvl="0">
        <w:start w:val="1"/>
        <w:numFmt w:val="bullet"/>
        <w:lvlText w:val="-"/>
        <w:legacy w:legacy="1" w:legacySpace="0" w:legacyIndent="360"/>
        <w:lvlJc w:val="left"/>
        <w:pPr>
          <w:ind w:left="360" w:hanging="360"/>
        </w:pPr>
      </w:lvl>
    </w:lvlOverride>
  </w:num>
  <w:num w:numId="4" w16cid:durableId="1318151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41445591">
    <w:abstractNumId w:val="29"/>
  </w:num>
  <w:num w:numId="6" w16cid:durableId="174153286">
    <w:abstractNumId w:val="26"/>
  </w:num>
  <w:num w:numId="7" w16cid:durableId="132599132">
    <w:abstractNumId w:val="17"/>
  </w:num>
  <w:num w:numId="8" w16cid:durableId="991911055">
    <w:abstractNumId w:val="20"/>
  </w:num>
  <w:num w:numId="9" w16cid:durableId="631909463">
    <w:abstractNumId w:val="38"/>
  </w:num>
  <w:num w:numId="10" w16cid:durableId="874730708">
    <w:abstractNumId w:val="1"/>
  </w:num>
  <w:num w:numId="11" w16cid:durableId="24257259">
    <w:abstractNumId w:val="32"/>
  </w:num>
  <w:num w:numId="12" w16cid:durableId="106580507">
    <w:abstractNumId w:val="19"/>
  </w:num>
  <w:num w:numId="13" w16cid:durableId="494300115">
    <w:abstractNumId w:val="10"/>
  </w:num>
  <w:num w:numId="14" w16cid:durableId="174392782">
    <w:abstractNumId w:val="4"/>
  </w:num>
  <w:num w:numId="15" w16cid:durableId="201870724">
    <w:abstractNumId w:val="0"/>
    <w:lvlOverride w:ilvl="0">
      <w:lvl w:ilvl="0">
        <w:start w:val="1"/>
        <w:numFmt w:val="bullet"/>
        <w:lvlText w:val="-"/>
        <w:legacy w:legacy="1" w:legacySpace="0" w:legacyIndent="360"/>
        <w:lvlJc w:val="left"/>
        <w:pPr>
          <w:ind w:left="360" w:hanging="360"/>
        </w:pPr>
      </w:lvl>
    </w:lvlOverride>
  </w:num>
  <w:num w:numId="16" w16cid:durableId="260918962">
    <w:abstractNumId w:val="35"/>
  </w:num>
  <w:num w:numId="17" w16cid:durableId="1293175157">
    <w:abstractNumId w:val="22"/>
  </w:num>
  <w:num w:numId="18" w16cid:durableId="2012219170">
    <w:abstractNumId w:val="24"/>
  </w:num>
  <w:num w:numId="19" w16cid:durableId="1567062312">
    <w:abstractNumId w:val="40"/>
  </w:num>
  <w:num w:numId="20" w16cid:durableId="987049049">
    <w:abstractNumId w:val="27"/>
  </w:num>
  <w:num w:numId="21" w16cid:durableId="644357986">
    <w:abstractNumId w:val="36"/>
  </w:num>
  <w:num w:numId="22" w16cid:durableId="1659961400">
    <w:abstractNumId w:val="31"/>
  </w:num>
  <w:num w:numId="23" w16cid:durableId="1869291237">
    <w:abstractNumId w:val="16"/>
  </w:num>
  <w:num w:numId="24" w16cid:durableId="1258438549">
    <w:abstractNumId w:val="36"/>
  </w:num>
  <w:num w:numId="25" w16cid:durableId="1730306441">
    <w:abstractNumId w:val="4"/>
  </w:num>
  <w:num w:numId="26" w16cid:durableId="701788299">
    <w:abstractNumId w:val="21"/>
  </w:num>
  <w:num w:numId="27" w16cid:durableId="9090773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267221">
    <w:abstractNumId w:val="12"/>
  </w:num>
  <w:num w:numId="29" w16cid:durableId="1494563793">
    <w:abstractNumId w:val="13"/>
  </w:num>
  <w:num w:numId="30" w16cid:durableId="26109321">
    <w:abstractNumId w:val="15"/>
  </w:num>
  <w:num w:numId="31" w16cid:durableId="1385562868">
    <w:abstractNumId w:val="2"/>
  </w:num>
  <w:num w:numId="32" w16cid:durableId="1903325347">
    <w:abstractNumId w:val="30"/>
  </w:num>
  <w:num w:numId="33" w16cid:durableId="1741712088">
    <w:abstractNumId w:val="23"/>
  </w:num>
  <w:num w:numId="34" w16cid:durableId="2129398074">
    <w:abstractNumId w:val="41"/>
  </w:num>
  <w:num w:numId="35" w16cid:durableId="540289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8233667">
    <w:abstractNumId w:val="8"/>
  </w:num>
  <w:num w:numId="37" w16cid:durableId="825055081">
    <w:abstractNumId w:val="11"/>
  </w:num>
  <w:num w:numId="38" w16cid:durableId="1700155357">
    <w:abstractNumId w:val="9"/>
  </w:num>
  <w:num w:numId="39" w16cid:durableId="384766674">
    <w:abstractNumId w:val="7"/>
  </w:num>
  <w:num w:numId="40" w16cid:durableId="413358589">
    <w:abstractNumId w:val="6"/>
  </w:num>
  <w:num w:numId="41" w16cid:durableId="2034840002">
    <w:abstractNumId w:val="37"/>
  </w:num>
  <w:num w:numId="42" w16cid:durableId="1909538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4070934">
    <w:abstractNumId w:val="18"/>
  </w:num>
  <w:num w:numId="44" w16cid:durableId="1790202476">
    <w:abstractNumId w:val="25"/>
  </w:num>
  <w:num w:numId="45" w16cid:durableId="12885116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3246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NDQ0NjOwMDOzNDZX0lEKTi0uzszPAykwqgUA3y+M2iwAAAA="/>
    <w:docVar w:name="Registered" w:val="-1"/>
    <w:docVar w:name="Version" w:val="0"/>
  </w:docVars>
  <w:rsids>
    <w:rsidRoot w:val="00132F98"/>
    <w:rsid w:val="00132F98"/>
    <w:rsid w:val="001F1F39"/>
    <w:rsid w:val="00584E7E"/>
    <w:rsid w:val="005C6F6C"/>
    <w:rsid w:val="006916A5"/>
    <w:rsid w:val="006D7DA3"/>
    <w:rsid w:val="007D3739"/>
    <w:rsid w:val="00842916"/>
    <w:rsid w:val="009060CB"/>
    <w:rsid w:val="00A72DBA"/>
    <w:rsid w:val="00AE6D28"/>
    <w:rsid w:val="00AF149F"/>
    <w:rsid w:val="00B55354"/>
    <w:rsid w:val="00D3036E"/>
    <w:rsid w:val="00E00721"/>
    <w:rsid w:val="00EE4065"/>
    <w:rsid w:val="00F80D3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56C36"/>
  <w15:docId w15:val="{03C1CAF0-1144-4A25-8644-19D4F600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ha,Char,Char Char Char,Char Char1,Comment Text Char Char,Comment Text Char Char Char,Comment Text Char Char1 Char,Comment Text Char1,Comment Text Char1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uiPriority w:val="99"/>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Pr>
      <w:rFonts w:ascii="Verdana" w:eastAsia="Verdana" w:hAnsi="Verdana" w:cs="Verdana"/>
      <w:sz w:val="18"/>
      <w:szCs w:val="18"/>
      <w:lang w:val="pl-PL" w:eastAsia="en-GB" w:bidi="ar-SA"/>
    </w:rPr>
  </w:style>
  <w:style w:type="paragraph" w:customStyle="1" w:styleId="EMAFooter">
    <w:name w:val="EMAFooter"/>
    <w:basedOn w:val="Normal"/>
    <w:link w:val="EMAFooterChar"/>
    <w:pPr>
      <w:tabs>
        <w:tab w:val="clear" w:pos="567"/>
      </w:tabs>
      <w:spacing w:line="240" w:lineRule="auto"/>
      <w:jc w:val="right"/>
    </w:pPr>
    <w:rPr>
      <w:rFonts w:ascii="Verdana" w:hAnsi="Verdana"/>
      <w:color w:val="6D6F71"/>
      <w:sz w:val="11"/>
    </w:rPr>
  </w:style>
  <w:style w:type="character" w:customStyle="1" w:styleId="EMAFooterChar">
    <w:name w:val="EMAFooter Char"/>
    <w:basedOn w:val="DefaultParagraphFont"/>
    <w:link w:val="EMAFooter"/>
    <w:rPr>
      <w:rFonts w:ascii="Verdana" w:eastAsia="Times New Roman" w:hAnsi="Verdana"/>
      <w:color w:val="6D6F71"/>
      <w:sz w:val="11"/>
    </w:rPr>
  </w:style>
  <w:style w:type="paragraph" w:customStyle="1" w:styleId="NormalAgency">
    <w:name w:val="Normal (Agency)"/>
    <w:link w:val="NormalAgencyChar"/>
    <w:rPr>
      <w:rFonts w:ascii="Verdana" w:eastAsia="Verdana" w:hAnsi="Verdana" w:cs="Verdana"/>
      <w:sz w:val="18"/>
      <w:szCs w:val="18"/>
      <w:lang w:eastAsia="ja-JP"/>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pl-PL"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ha Char,Char Char,Char Char Char Char,Char Char1 Char,Comment Text Char Char Char1,Comment Text Char Char Char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rPr>
  </w:style>
  <w:style w:type="paragraph" w:customStyle="1" w:styleId="C-Heading1">
    <w:name w:val="C-Heading 1"/>
    <w:next w:val="Normal"/>
    <w:pPr>
      <w:keepNext/>
      <w:pageBreakBefore/>
      <w:numPr>
        <w:numId w:val="26"/>
      </w:numPr>
      <w:spacing w:before="480" w:after="120"/>
      <w:outlineLvl w:val="0"/>
    </w:pPr>
    <w:rPr>
      <w:rFonts w:eastAsia="Times New Roman"/>
      <w:b/>
      <w:caps/>
      <w:sz w:val="28"/>
    </w:rPr>
  </w:style>
  <w:style w:type="paragraph" w:customStyle="1" w:styleId="C-Heading2">
    <w:name w:val="C-Heading 2"/>
    <w:next w:val="Normal"/>
    <w:pPr>
      <w:keepNext/>
      <w:numPr>
        <w:ilvl w:val="1"/>
        <w:numId w:val="26"/>
      </w:numPr>
      <w:spacing w:before="240"/>
      <w:outlineLvl w:val="1"/>
    </w:pPr>
    <w:rPr>
      <w:rFonts w:eastAsia="Times New Roman"/>
      <w:b/>
      <w:sz w:val="28"/>
    </w:rPr>
  </w:style>
  <w:style w:type="paragraph" w:customStyle="1" w:styleId="C-Heading3">
    <w:name w:val="C-Heading 3"/>
    <w:next w:val="Normal"/>
    <w:pPr>
      <w:keepNext/>
      <w:numPr>
        <w:ilvl w:val="2"/>
        <w:numId w:val="26"/>
      </w:numPr>
      <w:spacing w:before="240"/>
      <w:outlineLvl w:val="2"/>
    </w:pPr>
    <w:rPr>
      <w:rFonts w:eastAsia="Times New Roman"/>
      <w:b/>
      <w:sz w:val="24"/>
    </w:rPr>
  </w:style>
  <w:style w:type="paragraph" w:customStyle="1" w:styleId="C-Heading4">
    <w:name w:val="C-Heading 4"/>
    <w:next w:val="Normal"/>
    <w:pPr>
      <w:keepNext/>
      <w:numPr>
        <w:ilvl w:val="3"/>
        <w:numId w:val="26"/>
      </w:numPr>
      <w:spacing w:before="240"/>
      <w:outlineLvl w:val="3"/>
    </w:pPr>
    <w:rPr>
      <w:rFonts w:eastAsia="Times New Roman"/>
      <w:b/>
      <w:sz w:val="24"/>
    </w:rPr>
  </w:style>
  <w:style w:type="paragraph" w:customStyle="1" w:styleId="C-Heading5">
    <w:name w:val="C-Heading 5"/>
    <w:next w:val="Normal"/>
    <w:pPr>
      <w:keepNext/>
      <w:numPr>
        <w:ilvl w:val="4"/>
        <w:numId w:val="26"/>
      </w:numPr>
      <w:spacing w:before="240"/>
      <w:outlineLvl w:val="4"/>
    </w:pPr>
    <w:rPr>
      <w:rFonts w:eastAsia="Times New Roman"/>
      <w:b/>
      <w:sz w:val="24"/>
    </w:rPr>
  </w:style>
  <w:style w:type="paragraph" w:customStyle="1" w:styleId="C-Heading6">
    <w:name w:val="C-Heading 6"/>
    <w:next w:val="Normal"/>
    <w:pPr>
      <w:keepNext/>
      <w:numPr>
        <w:ilvl w:val="5"/>
        <w:numId w:val="26"/>
      </w:numPr>
      <w:tabs>
        <w:tab w:val="clear" w:pos="1080"/>
        <w:tab w:val="num" w:pos="1224"/>
      </w:tabs>
      <w:spacing w:before="240"/>
      <w:outlineLvl w:val="5"/>
    </w:pPr>
    <w:rPr>
      <w:rFonts w:eastAsia="Times New Roman"/>
      <w:b/>
      <w:sz w:val="24"/>
    </w:rPr>
  </w:style>
  <w:style w:type="paragraph" w:customStyle="1" w:styleId="paragraph">
    <w:name w:val="paragraph"/>
    <w:basedOn w:val="Normal"/>
    <w:pPr>
      <w:tabs>
        <w:tab w:val="clear" w:pos="567"/>
      </w:tabs>
      <w:spacing w:before="100" w:beforeAutospacing="1" w:after="100" w:afterAutospacing="1" w:line="240" w:lineRule="auto"/>
    </w:pPr>
    <w:rPr>
      <w:rFonts w:cs="Arial"/>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link w:val="ListParagraphChar"/>
    <w:uiPriority w:val="34"/>
    <w:qFormat/>
    <w:pPr>
      <w:tabs>
        <w:tab w:val="clear" w:pos="567"/>
      </w:tabs>
      <w:spacing w:line="240" w:lineRule="auto"/>
      <w:ind w:left="720"/>
      <w:contextualSpacing/>
    </w:pPr>
    <w:rPr>
      <w:rFonts w:cs="Arial"/>
      <w:sz w:val="24"/>
    </w:rPr>
  </w:style>
  <w:style w:type="paragraph" w:styleId="Caption">
    <w:name w:val="caption"/>
    <w:next w:val="Normal"/>
    <w:uiPriority w:val="35"/>
    <w:qFormat/>
    <w:pPr>
      <w:keepNext/>
      <w:spacing w:before="120" w:after="120" w:line="280" w:lineRule="atLeast"/>
      <w:ind w:left="1440" w:hanging="1440"/>
    </w:pPr>
    <w:rPr>
      <w:rFonts w:eastAsia="Times New Roman"/>
      <w:b/>
      <w:bCs/>
      <w:sz w:val="24"/>
      <w:szCs w:val="24"/>
    </w:rPr>
  </w:style>
  <w:style w:type="paragraph" w:customStyle="1" w:styleId="C-TableHeader">
    <w:name w:val="C-Table Header"/>
    <w:next w:val="C-TableText"/>
    <w:qFormat/>
    <w:pPr>
      <w:keepNext/>
      <w:spacing w:before="60" w:after="60"/>
    </w:pPr>
    <w:rPr>
      <w:rFonts w:eastAsia="Times New Roman"/>
      <w:b/>
      <w:sz w:val="22"/>
    </w:rPr>
  </w:style>
  <w:style w:type="paragraph" w:customStyle="1" w:styleId="C-TableText">
    <w:name w:val="C-Table Text"/>
    <w:link w:val="C-TableTextChar"/>
    <w:qFormat/>
    <w:pPr>
      <w:spacing w:before="60" w:after="60"/>
    </w:pPr>
    <w:rPr>
      <w:rFonts w:eastAsia="Times New Roman"/>
      <w:sz w:val="22"/>
    </w:rPr>
  </w:style>
  <w:style w:type="paragraph" w:customStyle="1" w:styleId="C-Footnote">
    <w:name w:val="C-Footnote"/>
    <w:basedOn w:val="Normal"/>
    <w:qFormat/>
    <w:pPr>
      <w:tabs>
        <w:tab w:val="clear" w:pos="567"/>
        <w:tab w:val="left" w:pos="144"/>
      </w:tabs>
      <w:spacing w:line="240" w:lineRule="auto"/>
    </w:pPr>
    <w:rPr>
      <w:rFonts w:cs="Arial"/>
      <w:sz w:val="20"/>
    </w:rPr>
  </w:style>
  <w:style w:type="table" w:styleId="TableGrid">
    <w:name w:val="Table Grid"/>
    <w:basedOn w:val="TableNormal"/>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TOC1"/>
    <w:next w:val="Normal"/>
    <w:pPr>
      <w:tabs>
        <w:tab w:val="left" w:pos="1152"/>
        <w:tab w:val="right" w:leader="dot" w:pos="9360"/>
      </w:tabs>
      <w:spacing w:before="120" w:line="240" w:lineRule="auto"/>
      <w:ind w:left="1152" w:right="792" w:hanging="1152"/>
    </w:pPr>
    <w:rPr>
      <w:rFonts w:cs="Arial"/>
      <w:color w:val="0000FF"/>
      <w:sz w:val="24"/>
      <w:szCs w:val="24"/>
    </w:rPr>
  </w:style>
  <w:style w:type="paragraph" w:styleId="TOC1">
    <w:name w:val="toc 1"/>
    <w:basedOn w:val="Normal"/>
    <w:next w:val="Normal"/>
    <w:autoRedefine/>
    <w:semiHidden/>
    <w:unhideWhenUsed/>
    <w:pPr>
      <w:tabs>
        <w:tab w:val="clear" w:pos="567"/>
      </w:tabs>
    </w:pPr>
  </w:style>
  <w:style w:type="character" w:customStyle="1" w:styleId="BalloonTextChar">
    <w:name w:val="Balloon Text Char"/>
    <w:link w:val="BalloonText"/>
    <w:uiPriority w:val="99"/>
    <w:rPr>
      <w:rFonts w:ascii="Tahoma" w:eastAsia="Times New Roman" w:hAnsi="Tahoma" w:cs="Tahoma"/>
      <w:sz w:val="16"/>
      <w:szCs w:val="16"/>
      <w:lang w:val="pl-PL" w:eastAsia="en-US"/>
    </w:rPr>
  </w:style>
  <w:style w:type="character" w:customStyle="1" w:styleId="C-BodyTextChar1">
    <w:name w:val="C-Body Text Char1"/>
    <w:link w:val="C-BodyText"/>
    <w:locked/>
    <w:rPr>
      <w:rFonts w:eastAsia="Times New Roman"/>
      <w:sz w:val="24"/>
    </w:rPr>
  </w:style>
  <w:style w:type="paragraph" w:customStyle="1" w:styleId="C-BodyText">
    <w:name w:val="C-Body Text"/>
    <w:link w:val="C-BodyTextChar1"/>
    <w:qFormat/>
    <w:pPr>
      <w:spacing w:before="120" w:after="120" w:line="280" w:lineRule="atLeast"/>
    </w:pPr>
    <w:rPr>
      <w:rFonts w:eastAsia="Times New Roman"/>
      <w:sz w:val="24"/>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US"/>
    </w:rPr>
  </w:style>
  <w:style w:type="paragraph" w:customStyle="1" w:styleId="TitleA">
    <w:name w:val="Title A"/>
    <w:basedOn w:val="Normal"/>
    <w:qFormat/>
    <w:pPr>
      <w:spacing w:line="240" w:lineRule="auto"/>
      <w:jc w:val="center"/>
      <w:outlineLvl w:val="0"/>
    </w:pPr>
    <w:rPr>
      <w:b/>
    </w:rPr>
  </w:style>
  <w:style w:type="paragraph" w:customStyle="1" w:styleId="TitleB">
    <w:name w:val="Title B"/>
    <w:basedOn w:val="Normal"/>
    <w:qFormat/>
    <w:pPr>
      <w:spacing w:line="240" w:lineRule="auto"/>
      <w:ind w:left="1701" w:right="1416" w:hanging="708"/>
    </w:pPr>
    <w:rPr>
      <w:b/>
      <w:noProof/>
      <w:szCs w:val="22"/>
    </w:rPr>
  </w:style>
  <w:style w:type="character" w:customStyle="1" w:styleId="UnresolvedMention1">
    <w:name w:val="Unresolved Mention1"/>
    <w:uiPriority w:val="99"/>
    <w:unhideWhenUsed/>
    <w:rPr>
      <w:color w:val="605E5C"/>
      <w:shd w:val="clear" w:color="auto" w:fill="E1DFDD"/>
    </w:rPr>
  </w:style>
  <w:style w:type="character" w:customStyle="1" w:styleId="Mention1">
    <w:name w:val="Mention1"/>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Pr>
      <w:color w:val="800080" w:themeColor="followedHyperlink"/>
      <w:u w:val="single"/>
    </w:r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1DFDD"/>
    </w:rPr>
  </w:style>
  <w:style w:type="character" w:customStyle="1" w:styleId="normaltextrun">
    <w:name w:val="normaltextrun"/>
  </w:style>
  <w:style w:type="character" w:customStyle="1" w:styleId="normaltextrun1">
    <w:name w:val="normaltextrun1"/>
  </w:style>
  <w:style w:type="table" w:customStyle="1" w:styleId="C-Table">
    <w:name w:val="C-Table"/>
    <w:basedOn w:val="TableNormal"/>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TextChar">
    <w:name w:val="C-Table Text Char"/>
    <w:link w:val="C-TableText"/>
    <w:rPr>
      <w:rFonts w:eastAsia="Times New Roman"/>
      <w:sz w:val="22"/>
    </w:rPr>
  </w:style>
  <w:style w:type="paragraph" w:customStyle="1" w:styleId="ListFooter">
    <w:name w:val="List Footer"/>
    <w:qFormat/>
    <w:pPr>
      <w:keepLines/>
      <w:spacing w:before="20" w:after="20"/>
    </w:pPr>
    <w:rPr>
      <w:rFonts w:eastAsiaTheme="minorEastAsia" w:cstheme="minorBidi"/>
      <w:szCs w:val="22"/>
      <w:lang w:val="en-US" w:eastAsia="en-US"/>
    </w:rPr>
  </w:style>
  <w:style w:type="paragraph" w:customStyle="1" w:styleId="ListFooterAlpha">
    <w:name w:val="List Footer Alpha"/>
    <w:qFormat/>
    <w:pPr>
      <w:keepLines/>
      <w:numPr>
        <w:numId w:val="45"/>
      </w:numPr>
      <w:spacing w:before="20" w:after="20"/>
    </w:pPr>
    <w:rPr>
      <w:rFonts w:eastAsiaTheme="minorEastAsia" w:cstheme="minorBidi"/>
      <w:szCs w:val="22"/>
      <w:lang w:val="en-US" w:eastAsia="en-US"/>
    </w:rPr>
  </w:style>
  <w:style w:type="character" w:customStyle="1" w:styleId="ListParagraphChar">
    <w:name w:val="List Paragraph Char"/>
    <w:link w:val="ListParagraph"/>
    <w:uiPriority w:val="34"/>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89">
      <w:bodyDiv w:val="1"/>
      <w:marLeft w:val="0"/>
      <w:marRight w:val="0"/>
      <w:marTop w:val="0"/>
      <w:marBottom w:val="0"/>
      <w:divBdr>
        <w:top w:val="none" w:sz="0" w:space="0" w:color="auto"/>
        <w:left w:val="none" w:sz="0" w:space="0" w:color="auto"/>
        <w:bottom w:val="none" w:sz="0" w:space="0" w:color="auto"/>
        <w:right w:val="none" w:sz="0" w:space="0" w:color="auto"/>
      </w:divBdr>
      <w:divsChild>
        <w:div w:id="37318609">
          <w:marLeft w:val="0"/>
          <w:marRight w:val="0"/>
          <w:marTop w:val="0"/>
          <w:marBottom w:val="0"/>
          <w:divBdr>
            <w:top w:val="none" w:sz="0" w:space="0" w:color="auto"/>
            <w:left w:val="none" w:sz="0" w:space="0" w:color="auto"/>
            <w:bottom w:val="none" w:sz="0" w:space="0" w:color="auto"/>
            <w:right w:val="none" w:sz="0" w:space="0" w:color="auto"/>
          </w:divBdr>
          <w:divsChild>
            <w:div w:id="411515415">
              <w:marLeft w:val="0"/>
              <w:marRight w:val="0"/>
              <w:marTop w:val="0"/>
              <w:marBottom w:val="0"/>
              <w:divBdr>
                <w:top w:val="none" w:sz="0" w:space="0" w:color="auto"/>
                <w:left w:val="none" w:sz="0" w:space="0" w:color="auto"/>
                <w:bottom w:val="none" w:sz="0" w:space="0" w:color="auto"/>
                <w:right w:val="none" w:sz="0" w:space="0" w:color="auto"/>
              </w:divBdr>
            </w:div>
          </w:divsChild>
        </w:div>
        <w:div w:id="50468165">
          <w:marLeft w:val="0"/>
          <w:marRight w:val="0"/>
          <w:marTop w:val="0"/>
          <w:marBottom w:val="0"/>
          <w:divBdr>
            <w:top w:val="none" w:sz="0" w:space="0" w:color="auto"/>
            <w:left w:val="none" w:sz="0" w:space="0" w:color="auto"/>
            <w:bottom w:val="none" w:sz="0" w:space="0" w:color="auto"/>
            <w:right w:val="none" w:sz="0" w:space="0" w:color="auto"/>
          </w:divBdr>
          <w:divsChild>
            <w:div w:id="655110109">
              <w:marLeft w:val="0"/>
              <w:marRight w:val="0"/>
              <w:marTop w:val="0"/>
              <w:marBottom w:val="0"/>
              <w:divBdr>
                <w:top w:val="none" w:sz="0" w:space="0" w:color="auto"/>
                <w:left w:val="none" w:sz="0" w:space="0" w:color="auto"/>
                <w:bottom w:val="none" w:sz="0" w:space="0" w:color="auto"/>
                <w:right w:val="none" w:sz="0" w:space="0" w:color="auto"/>
              </w:divBdr>
            </w:div>
          </w:divsChild>
        </w:div>
        <w:div w:id="483787908">
          <w:marLeft w:val="0"/>
          <w:marRight w:val="0"/>
          <w:marTop w:val="0"/>
          <w:marBottom w:val="0"/>
          <w:divBdr>
            <w:top w:val="none" w:sz="0" w:space="0" w:color="auto"/>
            <w:left w:val="none" w:sz="0" w:space="0" w:color="auto"/>
            <w:bottom w:val="none" w:sz="0" w:space="0" w:color="auto"/>
            <w:right w:val="none" w:sz="0" w:space="0" w:color="auto"/>
          </w:divBdr>
          <w:divsChild>
            <w:div w:id="109277507">
              <w:marLeft w:val="0"/>
              <w:marRight w:val="0"/>
              <w:marTop w:val="0"/>
              <w:marBottom w:val="0"/>
              <w:divBdr>
                <w:top w:val="none" w:sz="0" w:space="0" w:color="auto"/>
                <w:left w:val="none" w:sz="0" w:space="0" w:color="auto"/>
                <w:bottom w:val="none" w:sz="0" w:space="0" w:color="auto"/>
                <w:right w:val="none" w:sz="0" w:space="0" w:color="auto"/>
              </w:divBdr>
            </w:div>
          </w:divsChild>
        </w:div>
        <w:div w:id="498232401">
          <w:marLeft w:val="0"/>
          <w:marRight w:val="0"/>
          <w:marTop w:val="0"/>
          <w:marBottom w:val="0"/>
          <w:divBdr>
            <w:top w:val="none" w:sz="0" w:space="0" w:color="auto"/>
            <w:left w:val="none" w:sz="0" w:space="0" w:color="auto"/>
            <w:bottom w:val="none" w:sz="0" w:space="0" w:color="auto"/>
            <w:right w:val="none" w:sz="0" w:space="0" w:color="auto"/>
          </w:divBdr>
          <w:divsChild>
            <w:div w:id="60759045">
              <w:marLeft w:val="0"/>
              <w:marRight w:val="0"/>
              <w:marTop w:val="0"/>
              <w:marBottom w:val="0"/>
              <w:divBdr>
                <w:top w:val="none" w:sz="0" w:space="0" w:color="auto"/>
                <w:left w:val="none" w:sz="0" w:space="0" w:color="auto"/>
                <w:bottom w:val="none" w:sz="0" w:space="0" w:color="auto"/>
                <w:right w:val="none" w:sz="0" w:space="0" w:color="auto"/>
              </w:divBdr>
            </w:div>
            <w:div w:id="730345419">
              <w:marLeft w:val="0"/>
              <w:marRight w:val="0"/>
              <w:marTop w:val="0"/>
              <w:marBottom w:val="0"/>
              <w:divBdr>
                <w:top w:val="none" w:sz="0" w:space="0" w:color="auto"/>
                <w:left w:val="none" w:sz="0" w:space="0" w:color="auto"/>
                <w:bottom w:val="none" w:sz="0" w:space="0" w:color="auto"/>
                <w:right w:val="none" w:sz="0" w:space="0" w:color="auto"/>
              </w:divBdr>
            </w:div>
          </w:divsChild>
        </w:div>
        <w:div w:id="499198543">
          <w:marLeft w:val="0"/>
          <w:marRight w:val="0"/>
          <w:marTop w:val="0"/>
          <w:marBottom w:val="0"/>
          <w:divBdr>
            <w:top w:val="none" w:sz="0" w:space="0" w:color="auto"/>
            <w:left w:val="none" w:sz="0" w:space="0" w:color="auto"/>
            <w:bottom w:val="none" w:sz="0" w:space="0" w:color="auto"/>
            <w:right w:val="none" w:sz="0" w:space="0" w:color="auto"/>
          </w:divBdr>
          <w:divsChild>
            <w:div w:id="1137378172">
              <w:marLeft w:val="0"/>
              <w:marRight w:val="0"/>
              <w:marTop w:val="0"/>
              <w:marBottom w:val="0"/>
              <w:divBdr>
                <w:top w:val="none" w:sz="0" w:space="0" w:color="auto"/>
                <w:left w:val="none" w:sz="0" w:space="0" w:color="auto"/>
                <w:bottom w:val="none" w:sz="0" w:space="0" w:color="auto"/>
                <w:right w:val="none" w:sz="0" w:space="0" w:color="auto"/>
              </w:divBdr>
            </w:div>
          </w:divsChild>
        </w:div>
        <w:div w:id="583222379">
          <w:marLeft w:val="0"/>
          <w:marRight w:val="0"/>
          <w:marTop w:val="0"/>
          <w:marBottom w:val="0"/>
          <w:divBdr>
            <w:top w:val="none" w:sz="0" w:space="0" w:color="auto"/>
            <w:left w:val="none" w:sz="0" w:space="0" w:color="auto"/>
            <w:bottom w:val="none" w:sz="0" w:space="0" w:color="auto"/>
            <w:right w:val="none" w:sz="0" w:space="0" w:color="auto"/>
          </w:divBdr>
          <w:divsChild>
            <w:div w:id="2079009480">
              <w:marLeft w:val="0"/>
              <w:marRight w:val="0"/>
              <w:marTop w:val="0"/>
              <w:marBottom w:val="0"/>
              <w:divBdr>
                <w:top w:val="none" w:sz="0" w:space="0" w:color="auto"/>
                <w:left w:val="none" w:sz="0" w:space="0" w:color="auto"/>
                <w:bottom w:val="none" w:sz="0" w:space="0" w:color="auto"/>
                <w:right w:val="none" w:sz="0" w:space="0" w:color="auto"/>
              </w:divBdr>
            </w:div>
          </w:divsChild>
        </w:div>
        <w:div w:id="712966501">
          <w:marLeft w:val="0"/>
          <w:marRight w:val="0"/>
          <w:marTop w:val="0"/>
          <w:marBottom w:val="0"/>
          <w:divBdr>
            <w:top w:val="none" w:sz="0" w:space="0" w:color="auto"/>
            <w:left w:val="none" w:sz="0" w:space="0" w:color="auto"/>
            <w:bottom w:val="none" w:sz="0" w:space="0" w:color="auto"/>
            <w:right w:val="none" w:sz="0" w:space="0" w:color="auto"/>
          </w:divBdr>
          <w:divsChild>
            <w:div w:id="1304654317">
              <w:marLeft w:val="0"/>
              <w:marRight w:val="0"/>
              <w:marTop w:val="0"/>
              <w:marBottom w:val="0"/>
              <w:divBdr>
                <w:top w:val="none" w:sz="0" w:space="0" w:color="auto"/>
                <w:left w:val="none" w:sz="0" w:space="0" w:color="auto"/>
                <w:bottom w:val="none" w:sz="0" w:space="0" w:color="auto"/>
                <w:right w:val="none" w:sz="0" w:space="0" w:color="auto"/>
              </w:divBdr>
            </w:div>
          </w:divsChild>
        </w:div>
        <w:div w:id="965039934">
          <w:marLeft w:val="0"/>
          <w:marRight w:val="0"/>
          <w:marTop w:val="0"/>
          <w:marBottom w:val="0"/>
          <w:divBdr>
            <w:top w:val="none" w:sz="0" w:space="0" w:color="auto"/>
            <w:left w:val="none" w:sz="0" w:space="0" w:color="auto"/>
            <w:bottom w:val="none" w:sz="0" w:space="0" w:color="auto"/>
            <w:right w:val="none" w:sz="0" w:space="0" w:color="auto"/>
          </w:divBdr>
          <w:divsChild>
            <w:div w:id="654340659">
              <w:marLeft w:val="0"/>
              <w:marRight w:val="0"/>
              <w:marTop w:val="0"/>
              <w:marBottom w:val="0"/>
              <w:divBdr>
                <w:top w:val="none" w:sz="0" w:space="0" w:color="auto"/>
                <w:left w:val="none" w:sz="0" w:space="0" w:color="auto"/>
                <w:bottom w:val="none" w:sz="0" w:space="0" w:color="auto"/>
                <w:right w:val="none" w:sz="0" w:space="0" w:color="auto"/>
              </w:divBdr>
            </w:div>
          </w:divsChild>
        </w:div>
        <w:div w:id="1025518620">
          <w:marLeft w:val="0"/>
          <w:marRight w:val="0"/>
          <w:marTop w:val="0"/>
          <w:marBottom w:val="0"/>
          <w:divBdr>
            <w:top w:val="none" w:sz="0" w:space="0" w:color="auto"/>
            <w:left w:val="none" w:sz="0" w:space="0" w:color="auto"/>
            <w:bottom w:val="none" w:sz="0" w:space="0" w:color="auto"/>
            <w:right w:val="none" w:sz="0" w:space="0" w:color="auto"/>
          </w:divBdr>
          <w:divsChild>
            <w:div w:id="979457619">
              <w:marLeft w:val="0"/>
              <w:marRight w:val="0"/>
              <w:marTop w:val="0"/>
              <w:marBottom w:val="0"/>
              <w:divBdr>
                <w:top w:val="none" w:sz="0" w:space="0" w:color="auto"/>
                <w:left w:val="none" w:sz="0" w:space="0" w:color="auto"/>
                <w:bottom w:val="none" w:sz="0" w:space="0" w:color="auto"/>
                <w:right w:val="none" w:sz="0" w:space="0" w:color="auto"/>
              </w:divBdr>
            </w:div>
          </w:divsChild>
        </w:div>
        <w:div w:id="1089077473">
          <w:marLeft w:val="0"/>
          <w:marRight w:val="0"/>
          <w:marTop w:val="0"/>
          <w:marBottom w:val="0"/>
          <w:divBdr>
            <w:top w:val="none" w:sz="0" w:space="0" w:color="auto"/>
            <w:left w:val="none" w:sz="0" w:space="0" w:color="auto"/>
            <w:bottom w:val="none" w:sz="0" w:space="0" w:color="auto"/>
            <w:right w:val="none" w:sz="0" w:space="0" w:color="auto"/>
          </w:divBdr>
          <w:divsChild>
            <w:div w:id="555243307">
              <w:marLeft w:val="0"/>
              <w:marRight w:val="0"/>
              <w:marTop w:val="0"/>
              <w:marBottom w:val="0"/>
              <w:divBdr>
                <w:top w:val="none" w:sz="0" w:space="0" w:color="auto"/>
                <w:left w:val="none" w:sz="0" w:space="0" w:color="auto"/>
                <w:bottom w:val="none" w:sz="0" w:space="0" w:color="auto"/>
                <w:right w:val="none" w:sz="0" w:space="0" w:color="auto"/>
              </w:divBdr>
            </w:div>
          </w:divsChild>
        </w:div>
        <w:div w:id="1137647529">
          <w:marLeft w:val="0"/>
          <w:marRight w:val="0"/>
          <w:marTop w:val="0"/>
          <w:marBottom w:val="0"/>
          <w:divBdr>
            <w:top w:val="none" w:sz="0" w:space="0" w:color="auto"/>
            <w:left w:val="none" w:sz="0" w:space="0" w:color="auto"/>
            <w:bottom w:val="none" w:sz="0" w:space="0" w:color="auto"/>
            <w:right w:val="none" w:sz="0" w:space="0" w:color="auto"/>
          </w:divBdr>
          <w:divsChild>
            <w:div w:id="452677194">
              <w:marLeft w:val="0"/>
              <w:marRight w:val="0"/>
              <w:marTop w:val="0"/>
              <w:marBottom w:val="0"/>
              <w:divBdr>
                <w:top w:val="none" w:sz="0" w:space="0" w:color="auto"/>
                <w:left w:val="none" w:sz="0" w:space="0" w:color="auto"/>
                <w:bottom w:val="none" w:sz="0" w:space="0" w:color="auto"/>
                <w:right w:val="none" w:sz="0" w:space="0" w:color="auto"/>
              </w:divBdr>
            </w:div>
          </w:divsChild>
        </w:div>
        <w:div w:id="1892421613">
          <w:marLeft w:val="0"/>
          <w:marRight w:val="0"/>
          <w:marTop w:val="0"/>
          <w:marBottom w:val="0"/>
          <w:divBdr>
            <w:top w:val="none" w:sz="0" w:space="0" w:color="auto"/>
            <w:left w:val="none" w:sz="0" w:space="0" w:color="auto"/>
            <w:bottom w:val="none" w:sz="0" w:space="0" w:color="auto"/>
            <w:right w:val="none" w:sz="0" w:space="0" w:color="auto"/>
          </w:divBdr>
          <w:divsChild>
            <w:div w:id="293875070">
              <w:marLeft w:val="0"/>
              <w:marRight w:val="0"/>
              <w:marTop w:val="0"/>
              <w:marBottom w:val="0"/>
              <w:divBdr>
                <w:top w:val="none" w:sz="0" w:space="0" w:color="auto"/>
                <w:left w:val="none" w:sz="0" w:space="0" w:color="auto"/>
                <w:bottom w:val="none" w:sz="0" w:space="0" w:color="auto"/>
                <w:right w:val="none" w:sz="0" w:space="0" w:color="auto"/>
              </w:divBdr>
            </w:div>
          </w:divsChild>
        </w:div>
        <w:div w:id="2020040119">
          <w:marLeft w:val="0"/>
          <w:marRight w:val="0"/>
          <w:marTop w:val="0"/>
          <w:marBottom w:val="0"/>
          <w:divBdr>
            <w:top w:val="none" w:sz="0" w:space="0" w:color="auto"/>
            <w:left w:val="none" w:sz="0" w:space="0" w:color="auto"/>
            <w:bottom w:val="none" w:sz="0" w:space="0" w:color="auto"/>
            <w:right w:val="none" w:sz="0" w:space="0" w:color="auto"/>
          </w:divBdr>
          <w:divsChild>
            <w:div w:id="391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84">
      <w:bodyDiv w:val="1"/>
      <w:marLeft w:val="0"/>
      <w:marRight w:val="0"/>
      <w:marTop w:val="0"/>
      <w:marBottom w:val="0"/>
      <w:divBdr>
        <w:top w:val="none" w:sz="0" w:space="0" w:color="auto"/>
        <w:left w:val="none" w:sz="0" w:space="0" w:color="auto"/>
        <w:bottom w:val="none" w:sz="0" w:space="0" w:color="auto"/>
        <w:right w:val="none" w:sz="0" w:space="0" w:color="auto"/>
      </w:divBdr>
    </w:div>
    <w:div w:id="182209650">
      <w:bodyDiv w:val="1"/>
      <w:marLeft w:val="0"/>
      <w:marRight w:val="0"/>
      <w:marTop w:val="0"/>
      <w:marBottom w:val="0"/>
      <w:divBdr>
        <w:top w:val="none" w:sz="0" w:space="0" w:color="auto"/>
        <w:left w:val="none" w:sz="0" w:space="0" w:color="auto"/>
        <w:bottom w:val="none" w:sz="0" w:space="0" w:color="auto"/>
        <w:right w:val="none" w:sz="0" w:space="0" w:color="auto"/>
      </w:divBdr>
    </w:div>
    <w:div w:id="444539445">
      <w:bodyDiv w:val="1"/>
      <w:marLeft w:val="0"/>
      <w:marRight w:val="0"/>
      <w:marTop w:val="0"/>
      <w:marBottom w:val="0"/>
      <w:divBdr>
        <w:top w:val="none" w:sz="0" w:space="0" w:color="auto"/>
        <w:left w:val="none" w:sz="0" w:space="0" w:color="auto"/>
        <w:bottom w:val="none" w:sz="0" w:space="0" w:color="auto"/>
        <w:right w:val="none" w:sz="0" w:space="0" w:color="auto"/>
      </w:divBdr>
    </w:div>
    <w:div w:id="454059586">
      <w:bodyDiv w:val="1"/>
      <w:marLeft w:val="0"/>
      <w:marRight w:val="0"/>
      <w:marTop w:val="0"/>
      <w:marBottom w:val="0"/>
      <w:divBdr>
        <w:top w:val="none" w:sz="0" w:space="0" w:color="auto"/>
        <w:left w:val="none" w:sz="0" w:space="0" w:color="auto"/>
        <w:bottom w:val="none" w:sz="0" w:space="0" w:color="auto"/>
        <w:right w:val="none" w:sz="0" w:space="0" w:color="auto"/>
      </w:divBdr>
    </w:div>
    <w:div w:id="493031175">
      <w:bodyDiv w:val="1"/>
      <w:marLeft w:val="0"/>
      <w:marRight w:val="0"/>
      <w:marTop w:val="0"/>
      <w:marBottom w:val="0"/>
      <w:divBdr>
        <w:top w:val="none" w:sz="0" w:space="0" w:color="auto"/>
        <w:left w:val="none" w:sz="0" w:space="0" w:color="auto"/>
        <w:bottom w:val="none" w:sz="0" w:space="0" w:color="auto"/>
        <w:right w:val="none" w:sz="0" w:space="0" w:color="auto"/>
      </w:divBdr>
    </w:div>
    <w:div w:id="58819924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7382191">
      <w:bodyDiv w:val="1"/>
      <w:marLeft w:val="0"/>
      <w:marRight w:val="0"/>
      <w:marTop w:val="0"/>
      <w:marBottom w:val="0"/>
      <w:divBdr>
        <w:top w:val="none" w:sz="0" w:space="0" w:color="auto"/>
        <w:left w:val="none" w:sz="0" w:space="0" w:color="auto"/>
        <w:bottom w:val="none" w:sz="0" w:space="0" w:color="auto"/>
        <w:right w:val="none" w:sz="0" w:space="0" w:color="auto"/>
      </w:divBdr>
    </w:div>
    <w:div w:id="890116867">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60583263">
      <w:bodyDiv w:val="1"/>
      <w:marLeft w:val="0"/>
      <w:marRight w:val="0"/>
      <w:marTop w:val="0"/>
      <w:marBottom w:val="0"/>
      <w:divBdr>
        <w:top w:val="none" w:sz="0" w:space="0" w:color="auto"/>
        <w:left w:val="none" w:sz="0" w:space="0" w:color="auto"/>
        <w:bottom w:val="none" w:sz="0" w:space="0" w:color="auto"/>
        <w:right w:val="none" w:sz="0" w:space="0" w:color="auto"/>
      </w:divBdr>
      <w:divsChild>
        <w:div w:id="583104579">
          <w:marLeft w:val="0"/>
          <w:marRight w:val="0"/>
          <w:marTop w:val="0"/>
          <w:marBottom w:val="0"/>
          <w:divBdr>
            <w:top w:val="none" w:sz="0" w:space="0" w:color="auto"/>
            <w:left w:val="none" w:sz="0" w:space="0" w:color="auto"/>
            <w:bottom w:val="none" w:sz="0" w:space="0" w:color="auto"/>
            <w:right w:val="none" w:sz="0" w:space="0" w:color="auto"/>
          </w:divBdr>
          <w:divsChild>
            <w:div w:id="1410927217">
              <w:marLeft w:val="0"/>
              <w:marRight w:val="0"/>
              <w:marTop w:val="0"/>
              <w:marBottom w:val="0"/>
              <w:divBdr>
                <w:top w:val="none" w:sz="0" w:space="0" w:color="auto"/>
                <w:left w:val="none" w:sz="0" w:space="0" w:color="auto"/>
                <w:bottom w:val="none" w:sz="0" w:space="0" w:color="auto"/>
                <w:right w:val="none" w:sz="0" w:space="0" w:color="auto"/>
              </w:divBdr>
            </w:div>
          </w:divsChild>
        </w:div>
        <w:div w:id="827747493">
          <w:marLeft w:val="0"/>
          <w:marRight w:val="0"/>
          <w:marTop w:val="0"/>
          <w:marBottom w:val="0"/>
          <w:divBdr>
            <w:top w:val="none" w:sz="0" w:space="0" w:color="auto"/>
            <w:left w:val="none" w:sz="0" w:space="0" w:color="auto"/>
            <w:bottom w:val="none" w:sz="0" w:space="0" w:color="auto"/>
            <w:right w:val="none" w:sz="0" w:space="0" w:color="auto"/>
          </w:divBdr>
          <w:divsChild>
            <w:div w:id="1405027854">
              <w:marLeft w:val="0"/>
              <w:marRight w:val="0"/>
              <w:marTop w:val="0"/>
              <w:marBottom w:val="0"/>
              <w:divBdr>
                <w:top w:val="none" w:sz="0" w:space="0" w:color="auto"/>
                <w:left w:val="none" w:sz="0" w:space="0" w:color="auto"/>
                <w:bottom w:val="none" w:sz="0" w:space="0" w:color="auto"/>
                <w:right w:val="none" w:sz="0" w:space="0" w:color="auto"/>
              </w:divBdr>
            </w:div>
          </w:divsChild>
        </w:div>
        <w:div w:id="1368070184">
          <w:marLeft w:val="0"/>
          <w:marRight w:val="0"/>
          <w:marTop w:val="0"/>
          <w:marBottom w:val="0"/>
          <w:divBdr>
            <w:top w:val="none" w:sz="0" w:space="0" w:color="auto"/>
            <w:left w:val="none" w:sz="0" w:space="0" w:color="auto"/>
            <w:bottom w:val="none" w:sz="0" w:space="0" w:color="auto"/>
            <w:right w:val="none" w:sz="0" w:space="0" w:color="auto"/>
          </w:divBdr>
          <w:divsChild>
            <w:div w:id="1211262021">
              <w:marLeft w:val="0"/>
              <w:marRight w:val="0"/>
              <w:marTop w:val="0"/>
              <w:marBottom w:val="0"/>
              <w:divBdr>
                <w:top w:val="none" w:sz="0" w:space="0" w:color="auto"/>
                <w:left w:val="none" w:sz="0" w:space="0" w:color="auto"/>
                <w:bottom w:val="none" w:sz="0" w:space="0" w:color="auto"/>
                <w:right w:val="none" w:sz="0" w:space="0" w:color="auto"/>
              </w:divBdr>
            </w:div>
          </w:divsChild>
        </w:div>
        <w:div w:id="1966498398">
          <w:marLeft w:val="0"/>
          <w:marRight w:val="0"/>
          <w:marTop w:val="0"/>
          <w:marBottom w:val="0"/>
          <w:divBdr>
            <w:top w:val="none" w:sz="0" w:space="0" w:color="auto"/>
            <w:left w:val="none" w:sz="0" w:space="0" w:color="auto"/>
            <w:bottom w:val="none" w:sz="0" w:space="0" w:color="auto"/>
            <w:right w:val="none" w:sz="0" w:space="0" w:color="auto"/>
          </w:divBdr>
          <w:divsChild>
            <w:div w:id="1116876160">
              <w:marLeft w:val="0"/>
              <w:marRight w:val="0"/>
              <w:marTop w:val="0"/>
              <w:marBottom w:val="0"/>
              <w:divBdr>
                <w:top w:val="none" w:sz="0" w:space="0" w:color="auto"/>
                <w:left w:val="none" w:sz="0" w:space="0" w:color="auto"/>
                <w:bottom w:val="none" w:sz="0" w:space="0" w:color="auto"/>
                <w:right w:val="none" w:sz="0" w:space="0" w:color="auto"/>
              </w:divBdr>
            </w:div>
          </w:divsChild>
        </w:div>
        <w:div w:id="1983845219">
          <w:marLeft w:val="0"/>
          <w:marRight w:val="0"/>
          <w:marTop w:val="0"/>
          <w:marBottom w:val="0"/>
          <w:divBdr>
            <w:top w:val="none" w:sz="0" w:space="0" w:color="auto"/>
            <w:left w:val="none" w:sz="0" w:space="0" w:color="auto"/>
            <w:bottom w:val="none" w:sz="0" w:space="0" w:color="auto"/>
            <w:right w:val="none" w:sz="0" w:space="0" w:color="auto"/>
          </w:divBdr>
          <w:divsChild>
            <w:div w:id="315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8116">
      <w:bodyDiv w:val="1"/>
      <w:marLeft w:val="0"/>
      <w:marRight w:val="0"/>
      <w:marTop w:val="0"/>
      <w:marBottom w:val="0"/>
      <w:divBdr>
        <w:top w:val="none" w:sz="0" w:space="0" w:color="auto"/>
        <w:left w:val="none" w:sz="0" w:space="0" w:color="auto"/>
        <w:bottom w:val="none" w:sz="0" w:space="0" w:color="auto"/>
        <w:right w:val="none" w:sz="0" w:space="0" w:color="auto"/>
      </w:divBdr>
    </w:div>
    <w:div w:id="1341395315">
      <w:bodyDiv w:val="1"/>
      <w:marLeft w:val="0"/>
      <w:marRight w:val="0"/>
      <w:marTop w:val="0"/>
      <w:marBottom w:val="0"/>
      <w:divBdr>
        <w:top w:val="none" w:sz="0" w:space="0" w:color="auto"/>
        <w:left w:val="none" w:sz="0" w:space="0" w:color="auto"/>
        <w:bottom w:val="none" w:sz="0" w:space="0" w:color="auto"/>
        <w:right w:val="none" w:sz="0" w:space="0" w:color="auto"/>
      </w:divBdr>
    </w:div>
    <w:div w:id="138530045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44699444">
      <w:bodyDiv w:val="1"/>
      <w:marLeft w:val="0"/>
      <w:marRight w:val="0"/>
      <w:marTop w:val="0"/>
      <w:marBottom w:val="0"/>
      <w:divBdr>
        <w:top w:val="none" w:sz="0" w:space="0" w:color="auto"/>
        <w:left w:val="none" w:sz="0" w:space="0" w:color="auto"/>
        <w:bottom w:val="none" w:sz="0" w:space="0" w:color="auto"/>
        <w:right w:val="none" w:sz="0" w:space="0" w:color="auto"/>
      </w:divBdr>
    </w:div>
    <w:div w:id="1650211424">
      <w:bodyDiv w:val="1"/>
      <w:marLeft w:val="0"/>
      <w:marRight w:val="0"/>
      <w:marTop w:val="0"/>
      <w:marBottom w:val="0"/>
      <w:divBdr>
        <w:top w:val="none" w:sz="0" w:space="0" w:color="auto"/>
        <w:left w:val="none" w:sz="0" w:space="0" w:color="auto"/>
        <w:bottom w:val="none" w:sz="0" w:space="0" w:color="auto"/>
        <w:right w:val="none" w:sz="0" w:space="0" w:color="auto"/>
      </w:divBdr>
    </w:div>
    <w:div w:id="174687280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29927252">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8021897">
      <w:bodyDiv w:val="1"/>
      <w:marLeft w:val="0"/>
      <w:marRight w:val="0"/>
      <w:marTop w:val="0"/>
      <w:marBottom w:val="0"/>
      <w:divBdr>
        <w:top w:val="none" w:sz="0" w:space="0" w:color="auto"/>
        <w:left w:val="none" w:sz="0" w:space="0" w:color="auto"/>
        <w:bottom w:val="none" w:sz="0" w:space="0" w:color="auto"/>
        <w:right w:val="none" w:sz="0" w:space="0" w:color="auto"/>
      </w:divBdr>
    </w:div>
    <w:div w:id="2050178745">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505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stmodified xmlns="7b3767ae-8a97-4104-b6a4-eb46ed0c307f" xsi:nil="true"/>
    <_Flow_SignoffStatus xmlns="7b3767ae-8a97-4104-b6a4-eb46ed0c307f" xsi:nil="true"/>
    <TaxCatchAll xmlns="24a70960-9d18-4ea6-b5e8-8a0c5918f986" xsi:nil="true"/>
    <Image xmlns="7b3767ae-8a97-4104-b6a4-eb46ed0c30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64B7DA1DCE4418E5AEAF533D42F29" ma:contentTypeVersion="22" ma:contentTypeDescription="Create a new document." ma:contentTypeScope="" ma:versionID="ceef9f5500958d6abb2ed6deac5bc56f">
  <xsd:schema xmlns:xsd="http://www.w3.org/2001/XMLSchema" xmlns:xs="http://www.w3.org/2001/XMLSchema" xmlns:p="http://schemas.microsoft.com/office/2006/metadata/properties" xmlns:ns2="7b3767ae-8a97-4104-b6a4-eb46ed0c307f" xmlns:ns3="bef6a86a-3c6d-4817-8645-e93772362a5a" xmlns:ns4="24a70960-9d18-4ea6-b5e8-8a0c5918f986" targetNamespace="http://schemas.microsoft.com/office/2006/metadata/properties" ma:root="true" ma:fieldsID="60fbeec993271f3755d772efa327fe10" ns2:_="" ns3:_="" ns4:_="">
    <xsd:import namespace="7b3767ae-8a97-4104-b6a4-eb46ed0c307f"/>
    <xsd:import namespace="bef6a86a-3c6d-4817-8645-e93772362a5a"/>
    <xsd:import namespace="24a70960-9d18-4ea6-b5e8-8a0c5918f986"/>
    <xsd:element name="properties">
      <xsd:complexType>
        <xsd:sequence>
          <xsd:element name="documentManagement">
            <xsd:complexType>
              <xsd:all>
                <xsd:element ref="ns2:Image" minOccurs="0"/>
                <xsd:element ref="ns2:_Flow_SignoffStatus" minOccurs="0"/>
                <xsd:element ref="ns2:Lastmodified"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67ae-8a97-4104-b6a4-eb46ed0c307f" elementFormDefault="qualified">
    <xsd:import namespace="http://schemas.microsoft.com/office/2006/documentManagement/types"/>
    <xsd:import namespace="http://schemas.microsoft.com/office/infopath/2007/PartnerControls"/>
    <xsd:element name="Image" ma:index="2" nillable="true" ma:displayName="Image" ma:format="Thumbnail" ma:internalName="Image" ma:readOnly="false">
      <xsd:simpleType>
        <xsd:restriction base="dms:Unknown"/>
      </xsd:simpleType>
    </xsd:element>
    <xsd:element name="_Flow_SignoffStatus" ma:index="3" nillable="true" ma:displayName="Sign-off status" ma:internalName="Sign_x002d_off_x0020_status" ma:readOnly="false">
      <xsd:simpleType>
        <xsd:restriction base="dms:Text"/>
      </xsd:simpleType>
    </xsd:element>
    <xsd:element name="Lastmodified" ma:index="4" nillable="true" ma:displayName="Last modified" ma:format="DateTime" ma:internalName="Lastmodified"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6a86a-3c6d-4817-8645-e93772362a5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70960-9d18-4ea6-b5e8-8a0c5918f98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baa00d1-3435-4ba5-8e9a-4aa870318879}" ma:internalName="TaxCatchAll" ma:readOnly="false" ma:showField="CatchAllData" ma:web="24a70960-9d18-4ea6-b5e8-8a0c5918f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C002B-4028-4A56-BE2A-A5EF4E3E317B}">
  <ds:schemaRefs>
    <ds:schemaRef ds:uri="http://schemas.openxmlformats.org/officeDocument/2006/bibliography"/>
  </ds:schemaRefs>
</ds:datastoreItem>
</file>

<file path=customXml/itemProps2.xml><?xml version="1.0" encoding="utf-8"?>
<ds:datastoreItem xmlns:ds="http://schemas.openxmlformats.org/officeDocument/2006/customXml" ds:itemID="{AC555555-2E26-47E8-9D2A-17FCC6F0CA49}">
  <ds:schemaRefs>
    <ds:schemaRef ds:uri="http://schemas.microsoft.com/office/2006/metadata/properties"/>
    <ds:schemaRef ds:uri="http://schemas.microsoft.com/office/infopath/2007/PartnerControls"/>
    <ds:schemaRef ds:uri="7b3767ae-8a97-4104-b6a4-eb46ed0c307f"/>
    <ds:schemaRef ds:uri="24a70960-9d18-4ea6-b5e8-8a0c5918f986"/>
  </ds:schemaRefs>
</ds:datastoreItem>
</file>

<file path=customXml/itemProps3.xml><?xml version="1.0" encoding="utf-8"?>
<ds:datastoreItem xmlns:ds="http://schemas.openxmlformats.org/officeDocument/2006/customXml" ds:itemID="{210D9476-F6E3-4917-88DD-C8D2985F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67ae-8a97-4104-b6a4-eb46ed0c307f"/>
    <ds:schemaRef ds:uri="bef6a86a-3c6d-4817-8645-e93772362a5a"/>
    <ds:schemaRef ds:uri="24a70960-9d18-4ea6-b5e8-8a0c5918f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98500-2CC6-45D2-B849-7B398AA5B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11195</Words>
  <Characters>63815</Characters>
  <Application>Microsoft Office Word</Application>
  <DocSecurity>0</DocSecurity>
  <Lines>531</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Fintepla, INN-fenfluramine</vt:lpstr>
      <vt:lpstr>Fintepla, INN-fenfluramine</vt:lpstr>
    </vt:vector>
  </TitlesOfParts>
  <Company/>
  <LinksUpToDate>false</LinksUpToDate>
  <CharactersWithSpaces>74861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Fintepla, INN-fenfluramine</dc:title>
  <dc:subject>EPAR</dc:subject>
  <dc:creator>CHMP</dc:creator>
  <cp:keywords>Fintepla, INN-fenfluramine</cp:keywords>
  <cp:lastModifiedBy>Beata Martin Voces</cp:lastModifiedBy>
  <cp:revision>12</cp:revision>
  <dcterms:created xsi:type="dcterms:W3CDTF">2023-10-11T19:57:00Z</dcterms:created>
  <dcterms:modified xsi:type="dcterms:W3CDTF">2023-10-12T13:58:00Z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odified_Date">
    <vt:lpwstr>06/11/2020 11:37:48</vt:lpwstr>
  </property>
  <property fmtid="{D5CDD505-2E9C-101B-9397-08002B2CF9AE}" pid="3" name="DM_emea_cc">
    <vt:lpwstr/>
  </property>
  <property fmtid="{D5CDD505-2E9C-101B-9397-08002B2CF9AE}" pid="4" name="MSIP_Label_0eea11ca-d417-4147-80ed-01a58412c458_ActionId">
    <vt:lpwstr>9d834563-9a1a-4ac6-825c-0088324ce6b9</vt:lpwstr>
  </property>
  <property fmtid="{D5CDD505-2E9C-101B-9397-08002B2CF9AE}" pid="5" name="MSIP_Label_afe1b31d-cec0-4074-b4bd-f07689e43d84_Enabled">
    <vt:lpwstr>True</vt:lpwstr>
  </property>
  <property fmtid="{D5CDD505-2E9C-101B-9397-08002B2CF9AE}" pid="6" name="DM_Authors">
    <vt:lpwstr/>
  </property>
  <property fmtid="{D5CDD505-2E9C-101B-9397-08002B2CF9AE}" pid="7" name="DM_emea_year">
    <vt:lpwstr>2010</vt:lpwstr>
  </property>
  <property fmtid="{D5CDD505-2E9C-101B-9397-08002B2CF9AE}" pid="8" name="DM_Modifer_Name">
    <vt:lpwstr>Rozhkova Julia</vt:lpwstr>
  </property>
  <property fmtid="{D5CDD505-2E9C-101B-9397-08002B2CF9AE}" pid="9" name="DM_emea_meeting_flags">
    <vt:lpwstr/>
  </property>
  <property fmtid="{D5CDD505-2E9C-101B-9397-08002B2CF9AE}" pid="10" name="DM_emea_bcc">
    <vt:lpwstr/>
  </property>
  <property fmtid="{D5CDD505-2E9C-101B-9397-08002B2CF9AE}" pid="11" name="DM_Title">
    <vt:lpwstr/>
  </property>
  <property fmtid="{D5CDD505-2E9C-101B-9397-08002B2CF9AE}" pid="12" name="JobId">
    <vt:lpwstr>f3350877-b7a3-4f18-9c42-ac5500d5272e</vt:lpwstr>
  </property>
  <property fmtid="{D5CDD505-2E9C-101B-9397-08002B2CF9AE}" pid="13" name="DM_emea_message_subject">
    <vt:lpwstr/>
  </property>
  <property fmtid="{D5CDD505-2E9C-101B-9397-08002B2CF9AE}" pid="14" name="ContentTypeId">
    <vt:lpwstr>0x010100C3D64B7DA1DCE4418E5AEAF533D42F29</vt:lpwstr>
  </property>
  <property fmtid="{D5CDD505-2E9C-101B-9397-08002B2CF9AE}" pid="15" name="DM_emea_internal_label">
    <vt:lpwstr>EMA</vt:lpwstr>
  </property>
  <property fmtid="{D5CDD505-2E9C-101B-9397-08002B2CF9AE}" pid="16" name="DM_DocRefId">
    <vt:lpwstr>EMA/593305/2020</vt:lpwstr>
  </property>
  <property fmtid="{D5CDD505-2E9C-101B-9397-08002B2CF9AE}" pid="17" name="DM_emea_resp_body">
    <vt:lpwstr/>
  </property>
  <property fmtid="{D5CDD505-2E9C-101B-9397-08002B2CF9AE}" pid="18" name="MSIP_Label_afe1b31d-cec0-4074-b4bd-f07689e43d84_SetDate">
    <vt:lpwstr>2020-09-11T13:58:07.2982738Z</vt:lpwstr>
  </property>
  <property fmtid="{D5CDD505-2E9C-101B-9397-08002B2CF9AE}" pid="19" name="DM_Subject">
    <vt:lpwstr/>
  </property>
  <property fmtid="{D5CDD505-2E9C-101B-9397-08002B2CF9AE}" pid="20" name="DM_Modify_Date">
    <vt:lpwstr>06/11/2020 11:37:48</vt:lpwstr>
  </property>
  <property fmtid="{D5CDD505-2E9C-101B-9397-08002B2CF9AE}" pid="21" name="DM_emea_meeting_ref">
    <vt:lpwstr/>
  </property>
  <property fmtid="{D5CDD505-2E9C-101B-9397-08002B2CF9AE}" pid="22" name="DM_emea_received_date">
    <vt:lpwstr>nulldate</vt:lpwstr>
  </property>
  <property fmtid="{D5CDD505-2E9C-101B-9397-08002B2CF9AE}" pid="23" name="MSIP_Label_afe1b31d-cec0-4074-b4bd-f07689e43d84_ActionId">
    <vt:lpwstr>9d834563-9a1a-4ac6-825c-0088324ce6b9</vt:lpwstr>
  </property>
  <property fmtid="{D5CDD505-2E9C-101B-9397-08002B2CF9AE}" pid="24" name="DM_emea_legal_date">
    <vt:lpwstr>nulldate</vt:lpwstr>
  </property>
  <property fmtid="{D5CDD505-2E9C-101B-9397-08002B2CF9AE}" pid="25" name="Classification">
    <vt:lpwstr>Internal All EMA Staff and Contractors</vt:lpwstr>
  </property>
  <property fmtid="{D5CDD505-2E9C-101B-9397-08002B2CF9AE}" pid="26" name="DM_emea_revision_label">
    <vt:lpwstr/>
  </property>
  <property fmtid="{D5CDD505-2E9C-101B-9397-08002B2CF9AE}" pid="27" name="MSIP_Label_0eea11ca-d417-4147-80ed-01a58412c458_Application">
    <vt:lpwstr>Microsoft Azure Information Protection</vt:lpwstr>
  </property>
  <property fmtid="{D5CDD505-2E9C-101B-9397-08002B2CF9AE}" pid="28" name="MSIP_Label_afe1b31d-cec0-4074-b4bd-f07689e43d84_Owner">
    <vt:lpwstr>marine.bunch@ema.europa.eu</vt:lpwstr>
  </property>
  <property fmtid="{D5CDD505-2E9C-101B-9397-08002B2CF9AE}" pid="29" name="MSIP_Label_0eea11ca-d417-4147-80ed-01a58412c458_Owner">
    <vt:lpwstr>marine.bunch@ema.europa.eu</vt:lpwstr>
  </property>
  <property fmtid="{D5CDD505-2E9C-101B-9397-08002B2CF9AE}" pid="30" name="MSIP_Label_afe1b31d-cec0-4074-b4bd-f07689e43d84_Extended_MSFT_Method">
    <vt:lpwstr>Automatic</vt:lpwstr>
  </property>
  <property fmtid="{D5CDD505-2E9C-101B-9397-08002B2CF9AE}" pid="31" name="DM_Creator_Name">
    <vt:lpwstr>Rozhkova Julia</vt:lpwstr>
  </property>
  <property fmtid="{D5CDD505-2E9C-101B-9397-08002B2CF9AE}" pid="32" name="MSIP_Label_afe1b31d-cec0-4074-b4bd-f07689e43d84_SiteId">
    <vt:lpwstr>bc9dc15c-61bc-4f03-b60b-e5b6d8922839</vt:lpwstr>
  </property>
  <property fmtid="{D5CDD505-2E9C-101B-9397-08002B2CF9AE}" pid="33" name="DM_emea_doc_category">
    <vt:lpwstr>General</vt:lpwstr>
  </property>
  <property fmtid="{D5CDD505-2E9C-101B-9397-08002B2CF9AE}" pid="34" name="DM_emea_meeting_hyperlink">
    <vt:lpwstr/>
  </property>
  <property fmtid="{D5CDD505-2E9C-101B-9397-08002B2CF9AE}" pid="35" name="MSIP_Label_0eea11ca-d417-4147-80ed-01a58412c458_Extended_MSFT_Method">
    <vt:lpwstr>Automatic</vt:lpwstr>
  </property>
  <property fmtid="{D5CDD505-2E9C-101B-9397-08002B2CF9AE}" pid="36" name="MSIP_Label_0eea11ca-d417-4147-80ed-01a58412c458_Parent">
    <vt:lpwstr>afe1b31d-cec0-4074-b4bd-f07689e43d84</vt:lpwstr>
  </property>
  <property fmtid="{D5CDD505-2E9C-101B-9397-08002B2CF9AE}" pid="37" name="MSIP_Label_0eea11ca-d417-4147-80ed-01a58412c458_Name">
    <vt:lpwstr>All EMA Staff and Contractors</vt:lpwstr>
  </property>
  <property fmtid="{D5CDD505-2E9C-101B-9397-08002B2CF9AE}" pid="38" name="MSIP_Label_afe1b31d-cec0-4074-b4bd-f07689e43d84_Application">
    <vt:lpwstr>Microsoft Azure Information Protection</vt:lpwstr>
  </property>
  <property fmtid="{D5CDD505-2E9C-101B-9397-08002B2CF9AE}" pid="39" name="DM_Keywords">
    <vt:lpwstr/>
  </property>
  <property fmtid="{D5CDD505-2E9C-101B-9397-08002B2CF9AE}" pid="40" name="DM_emea_doc_number">
    <vt:lpwstr>423415</vt:lpwstr>
  </property>
  <property fmtid="{D5CDD505-2E9C-101B-9397-08002B2CF9AE}" pid="41" name="DM_Author">
    <vt:lpwstr/>
  </property>
  <property fmtid="{D5CDD505-2E9C-101B-9397-08002B2CF9AE}" pid="42" name="DM_emea_from">
    <vt:lpwstr/>
  </property>
  <property fmtid="{D5CDD505-2E9C-101B-9397-08002B2CF9AE}" pid="43" name="DM_Version">
    <vt:lpwstr>1.0,CURRENT</vt:lpwstr>
  </property>
  <property fmtid="{D5CDD505-2E9C-101B-9397-08002B2CF9AE}" pid="44" name="DM_emea_doc_ref_id">
    <vt:lpwstr>EMA/593305/2020</vt:lpwstr>
  </property>
  <property fmtid="{D5CDD505-2E9C-101B-9397-08002B2CF9AE}" pid="45" name="DM_emea_meeting_status">
    <vt:lpwstr/>
  </property>
  <property fmtid="{D5CDD505-2E9C-101B-9397-08002B2CF9AE}" pid="46" name="MSIP_Label_0eea11ca-d417-4147-80ed-01a58412c458_Enabled">
    <vt:lpwstr>True</vt:lpwstr>
  </property>
  <property fmtid="{D5CDD505-2E9C-101B-9397-08002B2CF9AE}" pid="47" name="DM_Path">
    <vt:lpwstr>/01. Evaluation of Medicines/H-C/D-F/Fintepla - 003933/10 Translations/Day 229 - MS Comments</vt:lpwstr>
  </property>
  <property fmtid="{D5CDD505-2E9C-101B-9397-08002B2CF9AE}" pid="48" name="DM_emea_meeting_action">
    <vt:lpwstr/>
  </property>
  <property fmtid="{D5CDD505-2E9C-101B-9397-08002B2CF9AE}" pid="49" name="DM_emea_meeting_title">
    <vt:lpwstr/>
  </property>
  <property fmtid="{D5CDD505-2E9C-101B-9397-08002B2CF9AE}" pid="50" name="DM_emea_to">
    <vt:lpwstr/>
  </property>
  <property fmtid="{D5CDD505-2E9C-101B-9397-08002B2CF9AE}" pid="51" name="DM_emea_doc_lang">
    <vt:lpwstr/>
  </property>
  <property fmtid="{D5CDD505-2E9C-101B-9397-08002B2CF9AE}" pid="52" name="DM_Creation_Date">
    <vt:lpwstr>06/11/2020 11:37:48</vt:lpwstr>
  </property>
  <property fmtid="{D5CDD505-2E9C-101B-9397-08002B2CF9AE}" pid="53" name="DM_Type">
    <vt:lpwstr>emea_document</vt:lpwstr>
  </property>
  <property fmtid="{D5CDD505-2E9C-101B-9397-08002B2CF9AE}" pid="54" name="DM_emea_sent_date">
    <vt:lpwstr>nulldate</vt:lpwstr>
  </property>
  <property fmtid="{D5CDD505-2E9C-101B-9397-08002B2CF9AE}" pid="55" name="DM_Status">
    <vt:lpwstr/>
  </property>
  <property fmtid="{D5CDD505-2E9C-101B-9397-08002B2CF9AE}" pid="56" name="MSIP_Label_0eea11ca-d417-4147-80ed-01a58412c458_SetDate">
    <vt:lpwstr>2020-09-11T13:58:07.2982738Z</vt:lpwstr>
  </property>
  <property fmtid="{D5CDD505-2E9C-101B-9397-08002B2CF9AE}" pid="57" name="DM_Owner">
    <vt:lpwstr>Espinasse Claire</vt:lpwstr>
  </property>
  <property fmtid="{D5CDD505-2E9C-101B-9397-08002B2CF9AE}" pid="58" name="DM_Name">
    <vt:lpwstr>PL Fintepla PI</vt:lpwstr>
  </property>
  <property fmtid="{D5CDD505-2E9C-101B-9397-08002B2CF9AE}" pid="59" name="DM_Modifier_Name">
    <vt:lpwstr>Rozhkova Julia</vt:lpwstr>
  </property>
  <property fmtid="{D5CDD505-2E9C-101B-9397-08002B2CF9AE}" pid="60" name="MSIP_Label_afe1b31d-cec0-4074-b4bd-f07689e43d84_Name">
    <vt:lpwstr>Internal</vt:lpwstr>
  </property>
  <property fmtid="{D5CDD505-2E9C-101B-9397-08002B2CF9AE}" pid="61" name="MSIP_Label_0eea11ca-d417-4147-80ed-01a58412c458_SiteId">
    <vt:lpwstr>bc9dc15c-61bc-4f03-b60b-e5b6d8922839</vt:lpwstr>
  </property>
  <property fmtid="{D5CDD505-2E9C-101B-9397-08002B2CF9AE}" pid="62" name="DM_Category">
    <vt:lpwstr>Comments</vt:lpwstr>
  </property>
  <property fmtid="{D5CDD505-2E9C-101B-9397-08002B2CF9AE}" pid="63" name="DM_Language">
    <vt:lpwstr/>
  </property>
</Properties>
</file>